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A99" w:rsidRPr="008D5A99" w:rsidRDefault="00BA5363" w:rsidP="00BA5363">
      <w:pPr>
        <w:shd w:val="clear" w:color="auto" w:fill="FFFFFF"/>
        <w:spacing w:after="0" w:line="240" w:lineRule="auto"/>
        <w:jc w:val="center"/>
        <w:outlineLvl w:val="0"/>
        <w:rPr>
          <w:rFonts w:ascii="Calibri" w:eastAsia="Times New Roman" w:hAnsi="Calibri" w:cs="Times New Roman"/>
          <w:b/>
          <w:bCs/>
          <w:color w:val="333333"/>
          <w:kern w:val="36"/>
        </w:rPr>
      </w:pPr>
      <w:r w:rsidRPr="00BA5363">
        <w:rPr>
          <w:rFonts w:ascii="Calibri" w:eastAsia="Times New Roman" w:hAnsi="Calibri" w:cs="Times New Roman"/>
          <w:b/>
          <w:bCs/>
          <w:color w:val="333333"/>
          <w:kern w:val="36"/>
        </w:rPr>
        <w:t xml:space="preserve">La </w:t>
      </w:r>
      <w:r w:rsidR="008D5A99" w:rsidRPr="008D5A99">
        <w:rPr>
          <w:rFonts w:ascii="Calibri" w:eastAsia="Times New Roman" w:hAnsi="Calibri" w:cs="Times New Roman"/>
          <w:b/>
          <w:bCs/>
          <w:color w:val="333333"/>
          <w:kern w:val="36"/>
        </w:rPr>
        <w:t>Syphilis</w:t>
      </w:r>
    </w:p>
    <w:p w:rsidR="008C240F" w:rsidRPr="00BA5363" w:rsidRDefault="008C240F" w:rsidP="00BA5363">
      <w:pPr>
        <w:pStyle w:val="NormalWeb"/>
        <w:spacing w:before="0" w:beforeAutospacing="0" w:after="0" w:afterAutospacing="0"/>
        <w:jc w:val="both"/>
        <w:textAlignment w:val="baseline"/>
        <w:rPr>
          <w:rFonts w:ascii="Lato" w:hAnsi="Lato"/>
          <w:color w:val="282828"/>
          <w:sz w:val="22"/>
          <w:szCs w:val="22"/>
        </w:rPr>
      </w:pP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La syphilis est une maladie sexuellement transmissible, très contagieuse, due à la bactérie</w:t>
      </w:r>
      <w:r w:rsidRPr="00BA5363">
        <w:rPr>
          <w:rStyle w:val="lev"/>
          <w:rFonts w:ascii="inherit" w:hAnsi="inherit"/>
          <w:i/>
          <w:iCs/>
          <w:color w:val="282828"/>
          <w:sz w:val="22"/>
          <w:szCs w:val="22"/>
          <w:bdr w:val="none" w:sz="0" w:space="0" w:color="auto" w:frame="1"/>
        </w:rPr>
        <w:t> </w:t>
      </w:r>
      <w:proofErr w:type="spellStart"/>
      <w:r w:rsidRPr="00BA5363">
        <w:rPr>
          <w:rStyle w:val="lev"/>
          <w:rFonts w:ascii="inherit" w:hAnsi="inherit"/>
          <w:i/>
          <w:iCs/>
          <w:color w:val="282828"/>
          <w:sz w:val="22"/>
          <w:szCs w:val="22"/>
          <w:bdr w:val="none" w:sz="0" w:space="0" w:color="auto" w:frame="1"/>
        </w:rPr>
        <w:t>Treponema</w:t>
      </w:r>
      <w:proofErr w:type="spellEnd"/>
      <w:r w:rsidRPr="00BA5363">
        <w:rPr>
          <w:rStyle w:val="lev"/>
          <w:rFonts w:ascii="inherit" w:hAnsi="inherit"/>
          <w:i/>
          <w:iCs/>
          <w:color w:val="282828"/>
          <w:sz w:val="22"/>
          <w:szCs w:val="22"/>
          <w:bdr w:val="none" w:sz="0" w:space="0" w:color="auto" w:frame="1"/>
        </w:rPr>
        <w:t xml:space="preserve"> pallidum. </w:t>
      </w: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La maladie se manifeste d'abord par un chancre au niveau des organes génitaux, puis par des atteintes des nerfs et des viscères, parfois plusieurs années après la contamination.</w:t>
      </w:r>
    </w:p>
    <w:p w:rsidR="008C240F" w:rsidRPr="00BA5363" w:rsidRDefault="008C240F" w:rsidP="00BA5363">
      <w:pPr>
        <w:pStyle w:val="Titre2"/>
        <w:spacing w:before="0" w:beforeAutospacing="0" w:after="0" w:afterAutospacing="0"/>
        <w:textAlignment w:val="baseline"/>
        <w:rPr>
          <w:rFonts w:ascii="Lato" w:hAnsi="Lato"/>
          <w:b w:val="0"/>
          <w:bCs w:val="0"/>
          <w:color w:val="282828"/>
          <w:sz w:val="22"/>
          <w:szCs w:val="22"/>
        </w:rPr>
      </w:pPr>
      <w:r w:rsidRPr="00BA5363">
        <w:rPr>
          <w:rFonts w:ascii="Lato" w:hAnsi="Lato"/>
          <w:b w:val="0"/>
          <w:bCs w:val="0"/>
          <w:color w:val="282828"/>
          <w:sz w:val="22"/>
          <w:szCs w:val="22"/>
        </w:rPr>
        <w:t>La syphilis, qu'est-ce que c'est ?</w:t>
      </w:r>
    </w:p>
    <w:p w:rsidR="008C240F" w:rsidRPr="00BA5363" w:rsidRDefault="008C240F" w:rsidP="00BA5363">
      <w:pPr>
        <w:pStyle w:val="NormalWeb"/>
        <w:spacing w:before="0" w:beforeAutospacing="0" w:after="0" w:afterAutospacing="0"/>
        <w:jc w:val="both"/>
        <w:textAlignment w:val="baseline"/>
        <w:rPr>
          <w:rFonts w:ascii="Lato" w:hAnsi="Lato"/>
          <w:color w:val="282828"/>
          <w:sz w:val="22"/>
          <w:szCs w:val="22"/>
        </w:rPr>
      </w:pPr>
      <w:r w:rsidRPr="00BA5363">
        <w:rPr>
          <w:rFonts w:ascii="Lato" w:hAnsi="Lato"/>
          <w:color w:val="282828"/>
          <w:sz w:val="22"/>
          <w:szCs w:val="22"/>
        </w:rPr>
        <w:t>La </w:t>
      </w:r>
      <w:hyperlink r:id="rId5" w:tgtFrame="_self" w:history="1">
        <w:r w:rsidRPr="00BA5363">
          <w:rPr>
            <w:rStyle w:val="Lienhypertexte"/>
            <w:rFonts w:ascii="Lato" w:hAnsi="Lato"/>
            <w:color w:val="2B6DA9"/>
            <w:sz w:val="22"/>
            <w:szCs w:val="22"/>
            <w:bdr w:val="none" w:sz="0" w:space="0" w:color="auto" w:frame="1"/>
          </w:rPr>
          <w:t>syphilis</w:t>
        </w:r>
      </w:hyperlink>
      <w:r w:rsidRPr="00BA5363">
        <w:rPr>
          <w:rFonts w:ascii="Lato" w:hAnsi="Lato"/>
          <w:color w:val="282828"/>
          <w:sz w:val="22"/>
          <w:szCs w:val="22"/>
        </w:rPr>
        <w:t> est une </w:t>
      </w: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infection bactérienne responsable de lésions de la peau et des muqueuses</w:t>
      </w:r>
      <w:r w:rsidRPr="00BA5363">
        <w:rPr>
          <w:rFonts w:ascii="Lato" w:hAnsi="Lato"/>
          <w:color w:val="282828"/>
          <w:sz w:val="22"/>
          <w:szCs w:val="22"/>
        </w:rPr>
        <w:t xml:space="preserve"> pouvant toucher de nombreux organes. La fréquence de la maladie reste importante dans les pays développés </w:t>
      </w:r>
    </w:p>
    <w:p w:rsidR="008C240F" w:rsidRPr="00BA5363" w:rsidRDefault="008C240F" w:rsidP="00BA5363">
      <w:pPr>
        <w:pStyle w:val="NormalWeb"/>
        <w:spacing w:before="0" w:beforeAutospacing="0" w:after="0" w:afterAutospacing="0"/>
        <w:jc w:val="both"/>
        <w:textAlignment w:val="baseline"/>
        <w:rPr>
          <w:rFonts w:ascii="Lato" w:hAnsi="Lato"/>
          <w:color w:val="282828"/>
          <w:sz w:val="22"/>
          <w:szCs w:val="22"/>
        </w:rPr>
      </w:pPr>
      <w:r w:rsidRPr="00BA5363">
        <w:rPr>
          <w:rFonts w:ascii="Lato" w:hAnsi="Lato"/>
          <w:color w:val="282828"/>
          <w:sz w:val="22"/>
          <w:szCs w:val="22"/>
        </w:rPr>
        <w:t>La transmission de l'infection est </w:t>
      </w: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 xml:space="preserve">strictement </w:t>
      </w:r>
      <w:proofErr w:type="spellStart"/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inter-humaine</w:t>
      </w:r>
      <w:proofErr w:type="spellEnd"/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 xml:space="preserve"> et se fait par voie sexuelle</w:t>
      </w:r>
      <w:r w:rsidRPr="00BA5363">
        <w:rPr>
          <w:rFonts w:ascii="Lato" w:hAnsi="Lato"/>
          <w:color w:val="282828"/>
          <w:sz w:val="22"/>
          <w:szCs w:val="22"/>
        </w:rPr>
        <w:t> (possibilité rare de transmission par voie sanguine ou au cours de </w:t>
      </w: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la grossesse</w:t>
      </w:r>
      <w:r w:rsidRPr="00BA5363">
        <w:rPr>
          <w:rFonts w:ascii="Lato" w:hAnsi="Lato"/>
          <w:color w:val="282828"/>
          <w:sz w:val="22"/>
          <w:szCs w:val="22"/>
        </w:rPr>
        <w:t>).  Le germe responsable de la syphilis est </w:t>
      </w: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une bactérie</w:t>
      </w:r>
      <w:r w:rsidRPr="00BA5363">
        <w:rPr>
          <w:rFonts w:ascii="Lato" w:hAnsi="Lato"/>
          <w:color w:val="282828"/>
          <w:sz w:val="22"/>
          <w:szCs w:val="22"/>
        </w:rPr>
        <w:t> (</w:t>
      </w:r>
      <w:proofErr w:type="spellStart"/>
      <w:r w:rsidRPr="00BA5363">
        <w:rPr>
          <w:rStyle w:val="Accentuation"/>
          <w:rFonts w:ascii="inherit" w:hAnsi="inherit"/>
          <w:color w:val="282828"/>
          <w:sz w:val="22"/>
          <w:szCs w:val="22"/>
          <w:bdr w:val="none" w:sz="0" w:space="0" w:color="auto" w:frame="1"/>
        </w:rPr>
        <w:t>Treponema</w:t>
      </w:r>
      <w:proofErr w:type="spellEnd"/>
      <w:r w:rsidRPr="00BA5363">
        <w:rPr>
          <w:rStyle w:val="Accentuation"/>
          <w:rFonts w:ascii="inherit" w:hAnsi="inherit"/>
          <w:color w:val="282828"/>
          <w:sz w:val="22"/>
          <w:szCs w:val="22"/>
          <w:bdr w:val="none" w:sz="0" w:space="0" w:color="auto" w:frame="1"/>
        </w:rPr>
        <w:t xml:space="preserve"> pallidum</w:t>
      </w:r>
      <w:r w:rsidRPr="00BA5363">
        <w:rPr>
          <w:rFonts w:ascii="Lato" w:hAnsi="Lato"/>
          <w:color w:val="282828"/>
          <w:sz w:val="22"/>
          <w:szCs w:val="22"/>
        </w:rPr>
        <w:t>) faisant partie de la famille des spirochètes.</w:t>
      </w:r>
    </w:p>
    <w:p w:rsidR="008C240F" w:rsidRPr="00BA5363" w:rsidRDefault="008C240F" w:rsidP="00BA5363">
      <w:pPr>
        <w:pStyle w:val="Titre2"/>
        <w:spacing w:before="0" w:beforeAutospacing="0" w:after="0" w:afterAutospacing="0"/>
        <w:textAlignment w:val="baseline"/>
        <w:rPr>
          <w:rFonts w:ascii="Lato" w:hAnsi="Lato"/>
          <w:b w:val="0"/>
          <w:bCs w:val="0"/>
          <w:color w:val="282828"/>
          <w:sz w:val="22"/>
          <w:szCs w:val="22"/>
        </w:rPr>
      </w:pPr>
      <w:r w:rsidRPr="00BA5363">
        <w:rPr>
          <w:rFonts w:ascii="Lato" w:hAnsi="Lato"/>
          <w:b w:val="0"/>
          <w:bCs w:val="0"/>
          <w:color w:val="282828"/>
          <w:sz w:val="22"/>
          <w:szCs w:val="22"/>
        </w:rPr>
        <w:t>Les symptômes de la syphilis</w:t>
      </w:r>
    </w:p>
    <w:p w:rsidR="008C240F" w:rsidRPr="00BA5363" w:rsidRDefault="008C240F" w:rsidP="00BA5363">
      <w:pPr>
        <w:pStyle w:val="NormalWeb"/>
        <w:spacing w:before="0" w:beforeAutospacing="0" w:after="0" w:afterAutospacing="0"/>
        <w:jc w:val="both"/>
        <w:textAlignment w:val="baseline"/>
        <w:rPr>
          <w:rFonts w:ascii="Lato" w:hAnsi="Lato"/>
          <w:color w:val="282828"/>
          <w:sz w:val="22"/>
          <w:szCs w:val="22"/>
        </w:rPr>
      </w:pPr>
      <w:r w:rsidRPr="00BA5363">
        <w:rPr>
          <w:rFonts w:ascii="Lato" w:hAnsi="Lato"/>
          <w:color w:val="282828"/>
          <w:sz w:val="22"/>
          <w:szCs w:val="22"/>
        </w:rPr>
        <w:t>La maladie évolue en </w:t>
      </w: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phases successives</w:t>
      </w:r>
      <w:r w:rsidRPr="00BA5363">
        <w:rPr>
          <w:rFonts w:ascii="Lato" w:hAnsi="Lato"/>
          <w:color w:val="282828"/>
          <w:sz w:val="22"/>
          <w:szCs w:val="22"/>
        </w:rPr>
        <w:t>.</w:t>
      </w:r>
    </w:p>
    <w:p w:rsidR="008C240F" w:rsidRPr="00BA5363" w:rsidRDefault="008C240F" w:rsidP="00BA5363">
      <w:pPr>
        <w:pStyle w:val="Titre3"/>
        <w:spacing w:before="0" w:beforeAutospacing="0" w:after="0" w:afterAutospacing="0"/>
        <w:textAlignment w:val="baseline"/>
        <w:rPr>
          <w:rFonts w:ascii="Lato" w:hAnsi="Lato"/>
          <w:b w:val="0"/>
          <w:bCs w:val="0"/>
          <w:caps/>
          <w:color w:val="282828"/>
          <w:sz w:val="22"/>
          <w:szCs w:val="22"/>
        </w:rPr>
      </w:pPr>
      <w:r w:rsidRPr="00BA5363">
        <w:rPr>
          <w:rFonts w:ascii="Lato" w:hAnsi="Lato"/>
          <w:b w:val="0"/>
          <w:bCs w:val="0"/>
          <w:caps/>
          <w:color w:val="282828"/>
          <w:sz w:val="22"/>
          <w:szCs w:val="22"/>
        </w:rPr>
        <w:t>1- LA SYPHILIS PRIMAIRE</w:t>
      </w:r>
    </w:p>
    <w:p w:rsidR="008C240F" w:rsidRPr="00BA5363" w:rsidRDefault="008C240F" w:rsidP="00BA5363">
      <w:pPr>
        <w:pStyle w:val="NormalWeb"/>
        <w:spacing w:before="0" w:beforeAutospacing="0" w:after="0" w:afterAutospacing="0"/>
        <w:jc w:val="both"/>
        <w:textAlignment w:val="baseline"/>
        <w:rPr>
          <w:rFonts w:ascii="Lato" w:hAnsi="Lato"/>
          <w:color w:val="282828"/>
          <w:sz w:val="22"/>
          <w:szCs w:val="22"/>
        </w:rPr>
      </w:pP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L'incubation silencieuse</w:t>
      </w:r>
      <w:r w:rsidRPr="00BA5363">
        <w:rPr>
          <w:rFonts w:ascii="Lato" w:hAnsi="Lato"/>
          <w:color w:val="282828"/>
          <w:sz w:val="22"/>
          <w:szCs w:val="22"/>
        </w:rPr>
        <w:t> (entre la contamination et les premiers symptômes) est </w:t>
      </w: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en moyenne de 3 semaines</w:t>
      </w:r>
      <w:r w:rsidRPr="00BA5363">
        <w:rPr>
          <w:rFonts w:ascii="Lato" w:hAnsi="Lato"/>
          <w:color w:val="282828"/>
          <w:sz w:val="22"/>
          <w:szCs w:val="22"/>
        </w:rPr>
        <w:t>, mais peut se prolonger jusqu'à 3 mois.</w:t>
      </w:r>
    </w:p>
    <w:p w:rsidR="008C240F" w:rsidRPr="00BA5363" w:rsidRDefault="008C240F" w:rsidP="00BA5363">
      <w:pPr>
        <w:pStyle w:val="NormalWeb"/>
        <w:spacing w:before="0" w:beforeAutospacing="0" w:after="0" w:afterAutospacing="0"/>
        <w:jc w:val="both"/>
        <w:textAlignment w:val="baseline"/>
        <w:rPr>
          <w:rFonts w:ascii="Lato" w:hAnsi="Lato"/>
          <w:color w:val="282828"/>
          <w:sz w:val="22"/>
          <w:szCs w:val="22"/>
        </w:rPr>
      </w:pPr>
      <w:r w:rsidRPr="00BA5363">
        <w:rPr>
          <w:rFonts w:ascii="Lato" w:hAnsi="Lato"/>
          <w:color w:val="282828"/>
          <w:sz w:val="22"/>
          <w:szCs w:val="22"/>
        </w:rPr>
        <w:t>La première phase se caractérise par </w:t>
      </w: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l'apparition d'un </w:t>
      </w:r>
      <w:hyperlink r:id="rId6" w:tgtFrame="_self" w:history="1">
        <w:r w:rsidRPr="00BA5363">
          <w:rPr>
            <w:rStyle w:val="Lienhypertexte"/>
            <w:rFonts w:ascii="inherit" w:hAnsi="inherit"/>
            <w:b/>
            <w:bCs/>
            <w:color w:val="2B6DA9"/>
            <w:sz w:val="22"/>
            <w:szCs w:val="22"/>
            <w:bdr w:val="none" w:sz="0" w:space="0" w:color="auto" w:frame="1"/>
          </w:rPr>
          <w:t>chancre</w:t>
        </w:r>
      </w:hyperlink>
      <w:r w:rsidRPr="00BA5363">
        <w:rPr>
          <w:rFonts w:ascii="Lato" w:hAnsi="Lato"/>
          <w:color w:val="282828"/>
          <w:sz w:val="22"/>
          <w:szCs w:val="22"/>
        </w:rPr>
        <w:t> : </w:t>
      </w:r>
      <w:hyperlink r:id="rId7" w:tgtFrame="_self" w:history="1">
        <w:r w:rsidRPr="00BA5363">
          <w:rPr>
            <w:rStyle w:val="Lienhypertexte"/>
            <w:rFonts w:ascii="Lato" w:hAnsi="Lato"/>
            <w:color w:val="2B6DA9"/>
            <w:sz w:val="22"/>
            <w:szCs w:val="22"/>
            <w:bdr w:val="none" w:sz="0" w:space="0" w:color="auto" w:frame="1"/>
          </w:rPr>
          <w:t>lésion</w:t>
        </w:r>
      </w:hyperlink>
      <w:r w:rsidRPr="00BA5363">
        <w:rPr>
          <w:rFonts w:ascii="Lato" w:hAnsi="Lato"/>
          <w:color w:val="282828"/>
          <w:sz w:val="22"/>
          <w:szCs w:val="22"/>
        </w:rPr>
        <w:t> rosée, indolore, non inflammatoire, propre, bien limitée devenant dure, laissant sortir un liquide clair. Il est localisé : </w:t>
      </w:r>
    </w:p>
    <w:p w:rsidR="008C240F" w:rsidRPr="00BA5363" w:rsidRDefault="008C240F" w:rsidP="00BA5363">
      <w:pPr>
        <w:numPr>
          <w:ilvl w:val="0"/>
          <w:numId w:val="9"/>
        </w:numPr>
        <w:spacing w:after="0" w:line="240" w:lineRule="auto"/>
        <w:ind w:left="0"/>
        <w:jc w:val="both"/>
        <w:textAlignment w:val="baseline"/>
        <w:rPr>
          <w:rFonts w:ascii="Lato" w:hAnsi="Lato"/>
          <w:color w:val="282828"/>
        </w:rPr>
      </w:pPr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au niveau des organes génitaux</w:t>
      </w:r>
      <w:r w:rsidRPr="00BA5363">
        <w:rPr>
          <w:rFonts w:ascii="Lato" w:hAnsi="Lato"/>
          <w:color w:val="282828"/>
        </w:rPr>
        <w:t> : gland, peau des testicules, grandes lèvres, clitoris, paroi du vagin, col utérin ; </w:t>
      </w:r>
    </w:p>
    <w:p w:rsidR="008C240F" w:rsidRPr="00BA5363" w:rsidRDefault="008C240F" w:rsidP="00BA5363">
      <w:pPr>
        <w:numPr>
          <w:ilvl w:val="0"/>
          <w:numId w:val="9"/>
        </w:numPr>
        <w:spacing w:after="0" w:line="240" w:lineRule="auto"/>
        <w:ind w:left="0"/>
        <w:jc w:val="both"/>
        <w:textAlignment w:val="baseline"/>
        <w:rPr>
          <w:rFonts w:ascii="Lato" w:hAnsi="Lato"/>
          <w:color w:val="282828"/>
        </w:rPr>
      </w:pPr>
      <w:r w:rsidRPr="00BA5363">
        <w:rPr>
          <w:rFonts w:ascii="Lato" w:hAnsi="Lato"/>
          <w:color w:val="282828"/>
        </w:rPr>
        <w:t>mais </w:t>
      </w:r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peut aussi être extra-génital</w:t>
      </w:r>
      <w:r w:rsidRPr="00BA5363">
        <w:rPr>
          <w:rFonts w:ascii="Lato" w:hAnsi="Lato"/>
          <w:color w:val="282828"/>
        </w:rPr>
        <w:t> : lèvres, langue, amygdale, anus et peut donc </w:t>
      </w:r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passer inaperçu</w:t>
      </w:r>
      <w:r w:rsidRPr="00BA5363">
        <w:rPr>
          <w:rFonts w:ascii="Lato" w:hAnsi="Lato"/>
          <w:color w:val="282828"/>
        </w:rPr>
        <w:t>.</w:t>
      </w:r>
    </w:p>
    <w:p w:rsidR="008C240F" w:rsidRPr="00BA5363" w:rsidRDefault="008C240F" w:rsidP="00BA5363">
      <w:pPr>
        <w:pStyle w:val="NormalWeb"/>
        <w:spacing w:before="0" w:beforeAutospacing="0" w:after="0" w:afterAutospacing="0"/>
        <w:jc w:val="both"/>
        <w:textAlignment w:val="baseline"/>
        <w:rPr>
          <w:rFonts w:ascii="Lato" w:hAnsi="Lato"/>
          <w:color w:val="282828"/>
          <w:sz w:val="22"/>
          <w:szCs w:val="22"/>
        </w:rPr>
      </w:pPr>
      <w:r w:rsidRPr="00BA5363">
        <w:rPr>
          <w:rFonts w:ascii="Lato" w:hAnsi="Lato"/>
          <w:color w:val="282828"/>
          <w:sz w:val="22"/>
          <w:szCs w:val="22"/>
        </w:rPr>
        <w:t>Des </w:t>
      </w: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ganglions durs et indolores</w:t>
      </w:r>
      <w:r w:rsidRPr="00BA5363">
        <w:rPr>
          <w:rFonts w:ascii="Lato" w:hAnsi="Lato"/>
          <w:color w:val="282828"/>
          <w:sz w:val="22"/>
          <w:szCs w:val="22"/>
        </w:rPr>
        <w:t> sont perçus dans la zone du chancre.</w:t>
      </w:r>
    </w:p>
    <w:p w:rsidR="008C240F" w:rsidRPr="00BA5363" w:rsidRDefault="008C240F" w:rsidP="00BA5363">
      <w:pPr>
        <w:pStyle w:val="Titre3"/>
        <w:spacing w:before="0" w:beforeAutospacing="0" w:after="0" w:afterAutospacing="0"/>
        <w:textAlignment w:val="baseline"/>
        <w:rPr>
          <w:rFonts w:ascii="Lato" w:hAnsi="Lato"/>
          <w:b w:val="0"/>
          <w:bCs w:val="0"/>
          <w:caps/>
          <w:color w:val="282828"/>
          <w:sz w:val="22"/>
          <w:szCs w:val="22"/>
        </w:rPr>
      </w:pPr>
      <w:r w:rsidRPr="00BA5363">
        <w:rPr>
          <w:rFonts w:ascii="Lato" w:hAnsi="Lato"/>
          <w:b w:val="0"/>
          <w:bCs w:val="0"/>
          <w:caps/>
          <w:color w:val="282828"/>
          <w:sz w:val="22"/>
          <w:szCs w:val="22"/>
        </w:rPr>
        <w:t>2- LA SYPHILIS SECONDAIRE</w:t>
      </w:r>
    </w:p>
    <w:p w:rsidR="008C240F" w:rsidRPr="00BA5363" w:rsidRDefault="008C240F" w:rsidP="00BA5363">
      <w:pPr>
        <w:pStyle w:val="NormalWeb"/>
        <w:spacing w:before="0" w:beforeAutospacing="0" w:after="0" w:afterAutospacing="0"/>
        <w:jc w:val="both"/>
        <w:textAlignment w:val="baseline"/>
        <w:rPr>
          <w:rFonts w:ascii="Lato" w:hAnsi="Lato"/>
          <w:color w:val="282828"/>
          <w:sz w:val="22"/>
          <w:szCs w:val="22"/>
        </w:rPr>
      </w:pPr>
      <w:r w:rsidRPr="00BA5363">
        <w:rPr>
          <w:rFonts w:ascii="Lato" w:hAnsi="Lato"/>
          <w:color w:val="282828"/>
          <w:sz w:val="22"/>
          <w:szCs w:val="22"/>
        </w:rPr>
        <w:t>Elle survient </w:t>
      </w: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entre 1 mois et 1 an après le rapport sexuel contaminant</w:t>
      </w:r>
      <w:r w:rsidRPr="00BA5363">
        <w:rPr>
          <w:rFonts w:ascii="Lato" w:hAnsi="Lato"/>
          <w:color w:val="282828"/>
          <w:sz w:val="22"/>
          <w:szCs w:val="22"/>
        </w:rPr>
        <w:t>.</w:t>
      </w:r>
    </w:p>
    <w:p w:rsidR="008C240F" w:rsidRPr="00BA5363" w:rsidRDefault="008C240F" w:rsidP="00BA5363">
      <w:pPr>
        <w:pStyle w:val="NormalWeb"/>
        <w:spacing w:before="0" w:beforeAutospacing="0" w:after="0" w:afterAutospacing="0"/>
        <w:jc w:val="both"/>
        <w:textAlignment w:val="baseline"/>
        <w:rPr>
          <w:rFonts w:ascii="Lato" w:hAnsi="Lato"/>
          <w:color w:val="282828"/>
          <w:sz w:val="22"/>
          <w:szCs w:val="22"/>
        </w:rPr>
      </w:pPr>
      <w:r w:rsidRPr="00BA5363">
        <w:rPr>
          <w:rFonts w:ascii="Lato" w:hAnsi="Lato"/>
          <w:color w:val="282828"/>
          <w:sz w:val="22"/>
          <w:szCs w:val="22"/>
        </w:rPr>
        <w:t>La bactérie est responsable de </w:t>
      </w: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 xml:space="preserve">manifestations variées en particulier </w:t>
      </w:r>
      <w:proofErr w:type="gramStart"/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cutanées</w:t>
      </w:r>
      <w:r w:rsidRPr="00BA5363">
        <w:rPr>
          <w:rFonts w:ascii="Lato" w:hAnsi="Lato"/>
          <w:color w:val="282828"/>
          <w:sz w:val="22"/>
          <w:szCs w:val="22"/>
        </w:rPr>
        <w:t>(</w:t>
      </w:r>
      <w:proofErr w:type="gramEnd"/>
      <w:r w:rsidRPr="00BA5363">
        <w:rPr>
          <w:rFonts w:ascii="Lato" w:hAnsi="Lato"/>
          <w:color w:val="282828"/>
          <w:sz w:val="22"/>
          <w:szCs w:val="22"/>
        </w:rPr>
        <w:t>nombreuses lésions dont certaines sont contagieuses) </w:t>
      </w: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et au niveau des muqueuses</w:t>
      </w:r>
      <w:r w:rsidRPr="00BA5363">
        <w:rPr>
          <w:rFonts w:ascii="Lato" w:hAnsi="Lato"/>
          <w:color w:val="282828"/>
          <w:sz w:val="22"/>
          <w:szCs w:val="22"/>
        </w:rPr>
        <w:t> (bouche, langue, vulve, gland, anus). Ces signes cutanés et muqueux sont associés à : </w:t>
      </w:r>
    </w:p>
    <w:p w:rsidR="008C240F" w:rsidRPr="00BA5363" w:rsidRDefault="008C240F" w:rsidP="00BA5363">
      <w:pPr>
        <w:numPr>
          <w:ilvl w:val="0"/>
          <w:numId w:val="10"/>
        </w:numPr>
        <w:spacing w:after="0" w:line="240" w:lineRule="auto"/>
        <w:ind w:left="0"/>
        <w:jc w:val="both"/>
        <w:textAlignment w:val="baseline"/>
        <w:rPr>
          <w:rFonts w:ascii="Lato" w:hAnsi="Lato"/>
          <w:color w:val="282828"/>
        </w:rPr>
      </w:pPr>
      <w:r w:rsidRPr="00BA5363">
        <w:rPr>
          <w:rFonts w:ascii="Lato" w:hAnsi="Lato"/>
          <w:color w:val="282828"/>
        </w:rPr>
        <w:t>De </w:t>
      </w:r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nombreux </w:t>
      </w:r>
      <w:hyperlink r:id="rId8" w:tgtFrame="_self" w:history="1">
        <w:r w:rsidRPr="00BA5363">
          <w:rPr>
            <w:rStyle w:val="Lienhypertexte"/>
            <w:rFonts w:ascii="inherit" w:hAnsi="inherit"/>
            <w:b/>
            <w:bCs/>
            <w:color w:val="2B6DA9"/>
            <w:bdr w:val="none" w:sz="0" w:space="0" w:color="auto" w:frame="1"/>
          </w:rPr>
          <w:t>ganglions</w:t>
        </w:r>
      </w:hyperlink>
      <w:r w:rsidRPr="00BA5363">
        <w:rPr>
          <w:rFonts w:ascii="Lato" w:hAnsi="Lato"/>
          <w:color w:val="282828"/>
        </w:rPr>
        <w:t> palpables indolores ; </w:t>
      </w:r>
    </w:p>
    <w:p w:rsidR="008C240F" w:rsidRPr="00BA5363" w:rsidRDefault="008C240F" w:rsidP="00BA5363">
      <w:pPr>
        <w:numPr>
          <w:ilvl w:val="0"/>
          <w:numId w:val="10"/>
        </w:numPr>
        <w:spacing w:after="0" w:line="240" w:lineRule="auto"/>
        <w:ind w:left="0"/>
        <w:jc w:val="both"/>
        <w:textAlignment w:val="baseline"/>
        <w:rPr>
          <w:rFonts w:ascii="Lato" w:hAnsi="Lato"/>
          <w:color w:val="282828"/>
        </w:rPr>
      </w:pPr>
      <w:r w:rsidRPr="00BA5363">
        <w:rPr>
          <w:rFonts w:ascii="Lato" w:hAnsi="Lato"/>
          <w:color w:val="282828"/>
        </w:rPr>
        <w:t>Une </w:t>
      </w:r>
      <w:hyperlink r:id="rId9" w:tgtFrame="_self" w:history="1">
        <w:r w:rsidRPr="00BA5363">
          <w:rPr>
            <w:rStyle w:val="Lienhypertexte"/>
            <w:rFonts w:ascii="inherit" w:hAnsi="inherit"/>
            <w:b/>
            <w:bCs/>
            <w:color w:val="2B6DA9"/>
            <w:bdr w:val="none" w:sz="0" w:space="0" w:color="auto" w:frame="1"/>
          </w:rPr>
          <w:t>fatigue</w:t>
        </w:r>
      </w:hyperlink>
      <w:r w:rsidRPr="00BA5363">
        <w:rPr>
          <w:rFonts w:ascii="Lato" w:hAnsi="Lato"/>
          <w:color w:val="282828"/>
        </w:rPr>
        <w:t> ; </w:t>
      </w:r>
    </w:p>
    <w:p w:rsidR="008C240F" w:rsidRPr="00BA5363" w:rsidRDefault="008C240F" w:rsidP="00BA5363">
      <w:pPr>
        <w:numPr>
          <w:ilvl w:val="0"/>
          <w:numId w:val="10"/>
        </w:numPr>
        <w:spacing w:after="0" w:line="240" w:lineRule="auto"/>
        <w:ind w:left="0"/>
        <w:jc w:val="both"/>
        <w:textAlignment w:val="baseline"/>
        <w:rPr>
          <w:rFonts w:ascii="Lato" w:hAnsi="Lato"/>
          <w:color w:val="282828"/>
        </w:rPr>
      </w:pPr>
      <w:r w:rsidRPr="00BA5363">
        <w:rPr>
          <w:rFonts w:ascii="Lato" w:hAnsi="Lato"/>
          <w:color w:val="282828"/>
        </w:rPr>
        <w:t>Une </w:t>
      </w:r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température corporelle légèrement augmentée</w:t>
      </w:r>
      <w:r w:rsidRPr="00BA5363">
        <w:rPr>
          <w:rFonts w:ascii="Lato" w:hAnsi="Lato"/>
          <w:color w:val="282828"/>
        </w:rPr>
        <w:t> ; </w:t>
      </w:r>
    </w:p>
    <w:p w:rsidR="008C240F" w:rsidRPr="00BA5363" w:rsidRDefault="008C240F" w:rsidP="00BA5363">
      <w:pPr>
        <w:numPr>
          <w:ilvl w:val="0"/>
          <w:numId w:val="10"/>
        </w:numPr>
        <w:spacing w:after="0" w:line="240" w:lineRule="auto"/>
        <w:ind w:left="0"/>
        <w:jc w:val="both"/>
        <w:textAlignment w:val="baseline"/>
        <w:rPr>
          <w:rFonts w:ascii="Lato" w:hAnsi="Lato"/>
          <w:color w:val="282828"/>
        </w:rPr>
      </w:pPr>
      <w:r w:rsidRPr="00BA5363">
        <w:rPr>
          <w:rFonts w:ascii="Lato" w:hAnsi="Lato"/>
          <w:color w:val="282828"/>
        </w:rPr>
        <w:t>Des </w:t>
      </w:r>
      <w:hyperlink r:id="rId10" w:tgtFrame="_self" w:history="1">
        <w:r w:rsidRPr="00BA5363">
          <w:rPr>
            <w:rStyle w:val="Lienhypertexte"/>
            <w:rFonts w:ascii="inherit" w:hAnsi="inherit"/>
            <w:b/>
            <w:bCs/>
            <w:color w:val="2B6DA9"/>
            <w:bdr w:val="none" w:sz="0" w:space="0" w:color="auto" w:frame="1"/>
          </w:rPr>
          <w:t>maux de tête</w:t>
        </w:r>
      </w:hyperlink>
      <w:r w:rsidRPr="00BA5363">
        <w:rPr>
          <w:rFonts w:ascii="Lato" w:hAnsi="Lato"/>
          <w:color w:val="282828"/>
        </w:rPr>
        <w:t>.</w:t>
      </w:r>
    </w:p>
    <w:p w:rsidR="008C240F" w:rsidRPr="00BA5363" w:rsidRDefault="008C240F" w:rsidP="00BA5363">
      <w:pPr>
        <w:pStyle w:val="NormalWeb"/>
        <w:spacing w:before="0" w:beforeAutospacing="0" w:after="0" w:afterAutospacing="0"/>
        <w:jc w:val="both"/>
        <w:textAlignment w:val="baseline"/>
        <w:rPr>
          <w:rFonts w:ascii="Lato" w:hAnsi="Lato"/>
          <w:color w:val="282828"/>
          <w:sz w:val="22"/>
          <w:szCs w:val="22"/>
        </w:rPr>
      </w:pPr>
      <w:hyperlink r:id="rId11" w:tgtFrame="_self" w:history="1">
        <w:r w:rsidRPr="00BA5363">
          <w:rPr>
            <w:rStyle w:val="Lienhypertexte"/>
            <w:rFonts w:ascii="Lato" w:hAnsi="Lato"/>
            <w:color w:val="2B6DA9"/>
            <w:sz w:val="22"/>
            <w:szCs w:val="22"/>
            <w:bdr w:val="none" w:sz="0" w:space="0" w:color="auto" w:frame="1"/>
          </w:rPr>
          <w:t>Méningite</w:t>
        </w:r>
      </w:hyperlink>
      <w:r w:rsidRPr="00BA5363">
        <w:rPr>
          <w:rFonts w:ascii="Lato" w:hAnsi="Lato"/>
          <w:color w:val="282828"/>
          <w:sz w:val="22"/>
          <w:szCs w:val="22"/>
        </w:rPr>
        <w:t>, </w:t>
      </w:r>
      <w:hyperlink r:id="rId12" w:tgtFrame="_self" w:history="1">
        <w:r w:rsidRPr="00BA5363">
          <w:rPr>
            <w:rStyle w:val="Lienhypertexte"/>
            <w:rFonts w:ascii="Lato" w:hAnsi="Lato"/>
            <w:color w:val="2B6DA9"/>
            <w:sz w:val="22"/>
            <w:szCs w:val="22"/>
            <w:bdr w:val="none" w:sz="0" w:space="0" w:color="auto" w:frame="1"/>
          </w:rPr>
          <w:t>hépatite</w:t>
        </w:r>
      </w:hyperlink>
      <w:r w:rsidRPr="00BA5363">
        <w:rPr>
          <w:rFonts w:ascii="Lato" w:hAnsi="Lato"/>
          <w:color w:val="282828"/>
          <w:sz w:val="22"/>
          <w:szCs w:val="22"/>
        </w:rPr>
        <w:t>, atteintes rénales et articulaires sont possibles.</w:t>
      </w:r>
    </w:p>
    <w:p w:rsidR="008C240F" w:rsidRPr="00BA5363" w:rsidRDefault="008C240F" w:rsidP="00BA5363">
      <w:pPr>
        <w:pStyle w:val="Titre3"/>
        <w:spacing w:before="0" w:beforeAutospacing="0" w:after="0" w:afterAutospacing="0"/>
        <w:textAlignment w:val="baseline"/>
        <w:rPr>
          <w:rFonts w:ascii="Lato" w:hAnsi="Lato"/>
          <w:b w:val="0"/>
          <w:bCs w:val="0"/>
          <w:caps/>
          <w:color w:val="282828"/>
          <w:sz w:val="22"/>
          <w:szCs w:val="22"/>
        </w:rPr>
      </w:pPr>
      <w:r w:rsidRPr="00BA5363">
        <w:rPr>
          <w:rFonts w:ascii="Lato" w:hAnsi="Lato"/>
          <w:b w:val="0"/>
          <w:bCs w:val="0"/>
          <w:caps/>
          <w:color w:val="282828"/>
          <w:sz w:val="22"/>
          <w:szCs w:val="22"/>
        </w:rPr>
        <w:t>3- LA SYPHILIS TERTIAIRE</w:t>
      </w:r>
    </w:p>
    <w:p w:rsidR="008C240F" w:rsidRPr="00BA5363" w:rsidRDefault="008C240F" w:rsidP="00BA5363">
      <w:pPr>
        <w:pStyle w:val="NormalWeb"/>
        <w:spacing w:before="0" w:beforeAutospacing="0" w:after="0" w:afterAutospacing="0"/>
        <w:jc w:val="both"/>
        <w:textAlignment w:val="baseline"/>
        <w:rPr>
          <w:rFonts w:ascii="Lato" w:hAnsi="Lato"/>
          <w:color w:val="282828"/>
          <w:sz w:val="22"/>
          <w:szCs w:val="22"/>
        </w:rPr>
      </w:pPr>
      <w:r w:rsidRPr="00BA5363">
        <w:rPr>
          <w:rFonts w:ascii="Lato" w:hAnsi="Lato"/>
          <w:color w:val="282828"/>
          <w:sz w:val="22"/>
          <w:szCs w:val="22"/>
        </w:rPr>
        <w:t>Elle survient </w:t>
      </w: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en l'absence de traitement</w:t>
      </w:r>
      <w:r w:rsidRPr="00BA5363">
        <w:rPr>
          <w:rFonts w:ascii="Lato" w:hAnsi="Lato"/>
          <w:color w:val="282828"/>
          <w:sz w:val="22"/>
          <w:szCs w:val="22"/>
        </w:rPr>
        <w:t>, après quelques mois ou années silencieuses.</w:t>
      </w:r>
    </w:p>
    <w:p w:rsidR="008C240F" w:rsidRPr="00BA5363" w:rsidRDefault="008C240F" w:rsidP="00BA5363">
      <w:pPr>
        <w:pStyle w:val="NormalWeb"/>
        <w:spacing w:before="0" w:beforeAutospacing="0" w:after="0" w:afterAutospacing="0"/>
        <w:jc w:val="both"/>
        <w:textAlignment w:val="baseline"/>
        <w:rPr>
          <w:rFonts w:ascii="Lato" w:hAnsi="Lato"/>
          <w:color w:val="282828"/>
          <w:sz w:val="22"/>
          <w:szCs w:val="22"/>
        </w:rPr>
      </w:pPr>
      <w:r w:rsidRPr="00BA5363">
        <w:rPr>
          <w:rFonts w:ascii="Lato" w:hAnsi="Lato"/>
          <w:color w:val="282828"/>
          <w:sz w:val="22"/>
          <w:szCs w:val="22"/>
        </w:rPr>
        <w:t>Elle est caractérisée par des </w:t>
      </w: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atteintes :</w:t>
      </w:r>
    </w:p>
    <w:p w:rsidR="008C240F" w:rsidRPr="00BA5363" w:rsidRDefault="008C240F" w:rsidP="00BA5363">
      <w:pPr>
        <w:numPr>
          <w:ilvl w:val="0"/>
          <w:numId w:val="11"/>
        </w:numPr>
        <w:spacing w:after="0" w:line="240" w:lineRule="auto"/>
        <w:ind w:left="0"/>
        <w:jc w:val="both"/>
        <w:textAlignment w:val="baseline"/>
        <w:rPr>
          <w:rFonts w:ascii="Lato" w:hAnsi="Lato"/>
          <w:color w:val="282828"/>
        </w:rPr>
      </w:pPr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 neurologiques</w:t>
      </w:r>
      <w:r w:rsidRPr="00BA5363">
        <w:rPr>
          <w:rFonts w:ascii="Lato" w:hAnsi="Lato"/>
          <w:color w:val="282828"/>
        </w:rPr>
        <w:t xml:space="preserve"> (on parle de </w:t>
      </w:r>
      <w:proofErr w:type="spellStart"/>
      <w:r w:rsidRPr="00BA5363">
        <w:rPr>
          <w:rFonts w:ascii="Lato" w:hAnsi="Lato"/>
          <w:color w:val="282828"/>
        </w:rPr>
        <w:t>neuro</w:t>
      </w:r>
      <w:proofErr w:type="spellEnd"/>
      <w:r w:rsidRPr="00BA5363">
        <w:rPr>
          <w:rFonts w:ascii="Lato" w:hAnsi="Lato"/>
          <w:color w:val="282828"/>
        </w:rPr>
        <w:t>-syphilis) ;</w:t>
      </w:r>
    </w:p>
    <w:p w:rsidR="008C240F" w:rsidRPr="00BA5363" w:rsidRDefault="008C240F" w:rsidP="00BA5363">
      <w:pPr>
        <w:numPr>
          <w:ilvl w:val="0"/>
          <w:numId w:val="11"/>
        </w:numPr>
        <w:spacing w:after="0" w:line="240" w:lineRule="auto"/>
        <w:ind w:left="0"/>
        <w:jc w:val="both"/>
        <w:textAlignment w:val="baseline"/>
        <w:rPr>
          <w:rFonts w:ascii="Lato" w:hAnsi="Lato"/>
          <w:color w:val="282828"/>
        </w:rPr>
      </w:pPr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cardiaques</w:t>
      </w:r>
      <w:r w:rsidRPr="00BA5363">
        <w:rPr>
          <w:rFonts w:ascii="Lato" w:hAnsi="Lato"/>
          <w:color w:val="282828"/>
        </w:rPr>
        <w:t> ;</w:t>
      </w:r>
    </w:p>
    <w:p w:rsidR="008C240F" w:rsidRPr="00BA5363" w:rsidRDefault="008C240F" w:rsidP="00BA5363">
      <w:pPr>
        <w:numPr>
          <w:ilvl w:val="0"/>
          <w:numId w:val="11"/>
        </w:numPr>
        <w:spacing w:after="0" w:line="240" w:lineRule="auto"/>
        <w:ind w:left="0"/>
        <w:jc w:val="both"/>
        <w:textAlignment w:val="baseline"/>
        <w:rPr>
          <w:rFonts w:ascii="Lato" w:hAnsi="Lato"/>
          <w:color w:val="282828"/>
        </w:rPr>
      </w:pPr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hépatiques</w:t>
      </w:r>
      <w:r w:rsidRPr="00BA5363">
        <w:rPr>
          <w:rFonts w:ascii="Lato" w:hAnsi="Lato"/>
          <w:color w:val="282828"/>
        </w:rPr>
        <w:t> ;</w:t>
      </w:r>
    </w:p>
    <w:p w:rsidR="008C240F" w:rsidRPr="00BA5363" w:rsidRDefault="008C240F" w:rsidP="00BA5363">
      <w:pPr>
        <w:numPr>
          <w:ilvl w:val="0"/>
          <w:numId w:val="11"/>
        </w:numPr>
        <w:spacing w:after="0" w:line="240" w:lineRule="auto"/>
        <w:ind w:left="0"/>
        <w:jc w:val="both"/>
        <w:textAlignment w:val="baseline"/>
        <w:rPr>
          <w:rFonts w:ascii="Lato" w:hAnsi="Lato"/>
          <w:color w:val="282828"/>
        </w:rPr>
      </w:pPr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digestives</w:t>
      </w:r>
      <w:r w:rsidRPr="00BA5363">
        <w:rPr>
          <w:rFonts w:ascii="Lato" w:hAnsi="Lato"/>
          <w:color w:val="282828"/>
        </w:rPr>
        <w:t> ;</w:t>
      </w:r>
    </w:p>
    <w:p w:rsidR="008C240F" w:rsidRPr="00BA5363" w:rsidRDefault="008C240F" w:rsidP="00BA5363">
      <w:pPr>
        <w:numPr>
          <w:ilvl w:val="0"/>
          <w:numId w:val="11"/>
        </w:numPr>
        <w:spacing w:after="0" w:line="240" w:lineRule="auto"/>
        <w:ind w:left="0"/>
        <w:jc w:val="both"/>
        <w:textAlignment w:val="baseline"/>
        <w:rPr>
          <w:rFonts w:ascii="Lato" w:hAnsi="Lato"/>
          <w:color w:val="282828"/>
        </w:rPr>
      </w:pPr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rénales </w:t>
      </w:r>
      <w:r w:rsidRPr="00BA5363">
        <w:rPr>
          <w:rFonts w:ascii="Lato" w:hAnsi="Lato"/>
          <w:color w:val="282828"/>
        </w:rPr>
        <w:t>; </w:t>
      </w:r>
    </w:p>
    <w:p w:rsidR="008C240F" w:rsidRPr="00BA5363" w:rsidRDefault="008C240F" w:rsidP="00BA5363">
      <w:pPr>
        <w:numPr>
          <w:ilvl w:val="0"/>
          <w:numId w:val="11"/>
        </w:numPr>
        <w:spacing w:after="0" w:line="240" w:lineRule="auto"/>
        <w:ind w:left="0"/>
        <w:jc w:val="both"/>
        <w:textAlignment w:val="baseline"/>
        <w:rPr>
          <w:rFonts w:ascii="Lato" w:hAnsi="Lato"/>
          <w:color w:val="282828"/>
        </w:rPr>
      </w:pPr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laryngées</w:t>
      </w:r>
      <w:r w:rsidRPr="00BA5363">
        <w:rPr>
          <w:rFonts w:ascii="Lato" w:hAnsi="Lato"/>
          <w:color w:val="282828"/>
        </w:rPr>
        <w:t> ; </w:t>
      </w:r>
    </w:p>
    <w:p w:rsidR="008C240F" w:rsidRPr="00BA5363" w:rsidRDefault="008C240F" w:rsidP="00BA5363">
      <w:pPr>
        <w:numPr>
          <w:ilvl w:val="0"/>
          <w:numId w:val="11"/>
        </w:numPr>
        <w:spacing w:after="0" w:line="240" w:lineRule="auto"/>
        <w:ind w:left="0"/>
        <w:jc w:val="both"/>
        <w:textAlignment w:val="baseline"/>
        <w:rPr>
          <w:rFonts w:ascii="Lato" w:hAnsi="Lato"/>
          <w:color w:val="282828"/>
        </w:rPr>
      </w:pPr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oculaires</w:t>
      </w:r>
      <w:r w:rsidRPr="00BA5363">
        <w:rPr>
          <w:rFonts w:ascii="Lato" w:hAnsi="Lato"/>
          <w:color w:val="282828"/>
        </w:rPr>
        <w:t> ;</w:t>
      </w:r>
    </w:p>
    <w:p w:rsidR="008C240F" w:rsidRPr="00BA5363" w:rsidRDefault="008C240F" w:rsidP="00BA5363">
      <w:pPr>
        <w:numPr>
          <w:ilvl w:val="0"/>
          <w:numId w:val="11"/>
        </w:numPr>
        <w:spacing w:after="0" w:line="240" w:lineRule="auto"/>
        <w:ind w:left="0"/>
        <w:jc w:val="both"/>
        <w:textAlignment w:val="baseline"/>
        <w:rPr>
          <w:rFonts w:ascii="Lato" w:hAnsi="Lato"/>
          <w:color w:val="282828"/>
        </w:rPr>
      </w:pPr>
      <w:r w:rsidRPr="00BA5363">
        <w:rPr>
          <w:rFonts w:ascii="Lato" w:hAnsi="Lato"/>
          <w:color w:val="282828"/>
        </w:rPr>
        <w:t>et des </w:t>
      </w:r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troubles psychiatriques</w:t>
      </w:r>
      <w:r w:rsidRPr="00BA5363">
        <w:rPr>
          <w:rFonts w:ascii="Lato" w:hAnsi="Lato"/>
          <w:color w:val="282828"/>
        </w:rPr>
        <w:t>.</w:t>
      </w:r>
    </w:p>
    <w:p w:rsidR="008C240F" w:rsidRPr="00BA5363" w:rsidRDefault="008C240F" w:rsidP="00BA5363">
      <w:pPr>
        <w:pStyle w:val="Titre3"/>
        <w:spacing w:before="0" w:beforeAutospacing="0" w:after="0" w:afterAutospacing="0"/>
        <w:textAlignment w:val="baseline"/>
        <w:rPr>
          <w:rFonts w:ascii="Lato" w:hAnsi="Lato"/>
          <w:b w:val="0"/>
          <w:bCs w:val="0"/>
          <w:caps/>
          <w:color w:val="282828"/>
          <w:sz w:val="22"/>
          <w:szCs w:val="22"/>
        </w:rPr>
      </w:pPr>
      <w:r w:rsidRPr="00BA5363">
        <w:rPr>
          <w:rFonts w:ascii="Lato" w:hAnsi="Lato"/>
          <w:b w:val="0"/>
          <w:bCs w:val="0"/>
          <w:caps/>
          <w:color w:val="282828"/>
          <w:sz w:val="22"/>
          <w:szCs w:val="22"/>
        </w:rPr>
        <w:t>LA SYPHILIS LATENTE</w:t>
      </w:r>
    </w:p>
    <w:p w:rsidR="008C240F" w:rsidRPr="00BA5363" w:rsidRDefault="008C240F" w:rsidP="00BA5363">
      <w:pPr>
        <w:pStyle w:val="NormalWeb"/>
        <w:spacing w:before="0" w:beforeAutospacing="0" w:after="0" w:afterAutospacing="0"/>
        <w:jc w:val="both"/>
        <w:textAlignment w:val="baseline"/>
        <w:rPr>
          <w:rFonts w:ascii="Lato" w:hAnsi="Lato"/>
          <w:color w:val="282828"/>
          <w:sz w:val="22"/>
          <w:szCs w:val="22"/>
        </w:rPr>
      </w:pPr>
      <w:r w:rsidRPr="00BA5363">
        <w:rPr>
          <w:rFonts w:ascii="Lato" w:hAnsi="Lato"/>
          <w:color w:val="282828"/>
          <w:sz w:val="22"/>
          <w:szCs w:val="22"/>
        </w:rPr>
        <w:t>La </w:t>
      </w: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syphilis latente</w:t>
      </w:r>
      <w:r w:rsidRPr="00BA5363">
        <w:rPr>
          <w:rFonts w:ascii="Lato" w:hAnsi="Lato"/>
          <w:color w:val="282828"/>
          <w:sz w:val="22"/>
          <w:szCs w:val="22"/>
        </w:rPr>
        <w:t> se définit comme </w:t>
      </w: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l'infection par la bactérie sans manifestation clinique</w:t>
      </w:r>
      <w:r w:rsidRPr="00BA5363">
        <w:rPr>
          <w:rFonts w:ascii="Lato" w:hAnsi="Lato"/>
          <w:color w:val="282828"/>
          <w:sz w:val="22"/>
          <w:szCs w:val="22"/>
        </w:rPr>
        <w:t xml:space="preserve"> mais les réactions sérologiques sanguines sont retrouvées positives. </w:t>
      </w:r>
    </w:p>
    <w:p w:rsidR="008C240F" w:rsidRPr="00BA5363" w:rsidRDefault="008C240F" w:rsidP="00BA5363">
      <w:pPr>
        <w:pStyle w:val="Titre2"/>
        <w:spacing w:before="0" w:beforeAutospacing="0" w:after="0" w:afterAutospacing="0"/>
        <w:textAlignment w:val="baseline"/>
        <w:rPr>
          <w:rFonts w:ascii="Lato" w:hAnsi="Lato"/>
          <w:b w:val="0"/>
          <w:bCs w:val="0"/>
          <w:color w:val="282828"/>
          <w:sz w:val="22"/>
          <w:szCs w:val="22"/>
        </w:rPr>
      </w:pPr>
      <w:r w:rsidRPr="00BA5363">
        <w:rPr>
          <w:rFonts w:ascii="Lato" w:hAnsi="Lato"/>
          <w:b w:val="0"/>
          <w:bCs w:val="0"/>
          <w:color w:val="282828"/>
          <w:sz w:val="22"/>
          <w:szCs w:val="22"/>
        </w:rPr>
        <w:t>Le diagnostic de syphilis</w:t>
      </w:r>
    </w:p>
    <w:p w:rsidR="008C240F" w:rsidRPr="00BA5363" w:rsidRDefault="008C240F" w:rsidP="00BA5363">
      <w:pPr>
        <w:pStyle w:val="Titre3"/>
        <w:spacing w:before="0" w:beforeAutospacing="0" w:after="0" w:afterAutospacing="0"/>
        <w:textAlignment w:val="baseline"/>
        <w:rPr>
          <w:rFonts w:ascii="Lato" w:hAnsi="Lato"/>
          <w:b w:val="0"/>
          <w:bCs w:val="0"/>
          <w:caps/>
          <w:color w:val="282828"/>
          <w:sz w:val="22"/>
          <w:szCs w:val="22"/>
        </w:rPr>
      </w:pPr>
      <w:r w:rsidRPr="00BA5363">
        <w:rPr>
          <w:rFonts w:ascii="Lato" w:hAnsi="Lato"/>
          <w:b w:val="0"/>
          <w:bCs w:val="0"/>
          <w:caps/>
          <w:color w:val="282828"/>
          <w:sz w:val="22"/>
          <w:szCs w:val="22"/>
        </w:rPr>
        <w:t>L'EXAMEN CLINIQUE</w:t>
      </w:r>
    </w:p>
    <w:p w:rsidR="008C240F" w:rsidRPr="00BA5363" w:rsidRDefault="008C240F" w:rsidP="00BA5363">
      <w:pPr>
        <w:pStyle w:val="NormalWeb"/>
        <w:spacing w:before="0" w:beforeAutospacing="0" w:after="0" w:afterAutospacing="0"/>
        <w:jc w:val="both"/>
        <w:textAlignment w:val="baseline"/>
        <w:rPr>
          <w:rFonts w:ascii="Lato" w:hAnsi="Lato"/>
          <w:color w:val="282828"/>
          <w:sz w:val="22"/>
          <w:szCs w:val="22"/>
        </w:rPr>
      </w:pPr>
      <w:r w:rsidRPr="00BA5363">
        <w:rPr>
          <w:rFonts w:ascii="Lato" w:hAnsi="Lato"/>
          <w:color w:val="282828"/>
          <w:sz w:val="22"/>
          <w:szCs w:val="22"/>
        </w:rPr>
        <w:t>La syphilis étant une maladie sexuellement transmissible, le médecin doit </w:t>
      </w: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rechercher par l'interrogatoire</w:t>
      </w:r>
      <w:r w:rsidRPr="00BA5363">
        <w:rPr>
          <w:rFonts w:ascii="Lato" w:hAnsi="Lato"/>
          <w:color w:val="282828"/>
          <w:sz w:val="22"/>
          <w:szCs w:val="22"/>
        </w:rPr>
        <w:t> et </w:t>
      </w: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l'examen clinique</w:t>
      </w:r>
      <w:r w:rsidRPr="00BA5363">
        <w:rPr>
          <w:rFonts w:ascii="Lato" w:hAnsi="Lato"/>
          <w:color w:val="282828"/>
          <w:sz w:val="22"/>
          <w:szCs w:val="22"/>
        </w:rPr>
        <w:t> des éléments en faveur d'</w:t>
      </w: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une autre </w:t>
      </w:r>
      <w:hyperlink r:id="rId13" w:tgtFrame="_self" w:history="1">
        <w:r w:rsidRPr="00BA5363">
          <w:rPr>
            <w:rStyle w:val="Lienhypertexte"/>
            <w:rFonts w:ascii="inherit" w:hAnsi="inherit"/>
            <w:b/>
            <w:bCs/>
            <w:color w:val="2B6DA9"/>
            <w:sz w:val="22"/>
            <w:szCs w:val="22"/>
            <w:bdr w:val="none" w:sz="0" w:space="0" w:color="auto" w:frame="1"/>
          </w:rPr>
          <w:t>MST</w:t>
        </w:r>
      </w:hyperlink>
      <w:r w:rsidRPr="00BA5363">
        <w:rPr>
          <w:rFonts w:ascii="Lato" w:hAnsi="Lato"/>
          <w:color w:val="282828"/>
          <w:sz w:val="22"/>
          <w:szCs w:val="22"/>
        </w:rPr>
        <w:t> (</w:t>
      </w:r>
      <w:hyperlink r:id="rId14" w:tgtFrame="_self" w:history="1">
        <w:r w:rsidRPr="00BA5363">
          <w:rPr>
            <w:rStyle w:val="Lienhypertexte"/>
            <w:rFonts w:ascii="Lato" w:hAnsi="Lato"/>
            <w:color w:val="2B6DA9"/>
            <w:sz w:val="22"/>
            <w:szCs w:val="22"/>
            <w:bdr w:val="none" w:sz="0" w:space="0" w:color="auto" w:frame="1"/>
          </w:rPr>
          <w:t>infection à VIH</w:t>
        </w:r>
      </w:hyperlink>
      <w:r w:rsidRPr="00BA5363">
        <w:rPr>
          <w:rFonts w:ascii="Lato" w:hAnsi="Lato"/>
          <w:color w:val="282828"/>
          <w:sz w:val="22"/>
          <w:szCs w:val="22"/>
        </w:rPr>
        <w:t>, </w:t>
      </w:r>
      <w:hyperlink r:id="rId15" w:tgtFrame="_self" w:history="1">
        <w:r w:rsidRPr="00BA5363">
          <w:rPr>
            <w:rStyle w:val="Lienhypertexte"/>
            <w:rFonts w:ascii="Lato" w:hAnsi="Lato"/>
            <w:color w:val="2B6DA9"/>
            <w:sz w:val="22"/>
            <w:szCs w:val="22"/>
            <w:bdr w:val="none" w:sz="0" w:space="0" w:color="auto" w:frame="1"/>
          </w:rPr>
          <w:t>hépatite B</w:t>
        </w:r>
      </w:hyperlink>
      <w:r w:rsidRPr="00BA5363">
        <w:rPr>
          <w:rFonts w:ascii="Lato" w:hAnsi="Lato"/>
          <w:color w:val="282828"/>
          <w:sz w:val="22"/>
          <w:szCs w:val="22"/>
        </w:rPr>
        <w:t>…).</w:t>
      </w:r>
    </w:p>
    <w:p w:rsidR="008C240F" w:rsidRPr="00BA5363" w:rsidRDefault="008C240F" w:rsidP="00BA5363">
      <w:pPr>
        <w:pStyle w:val="Titre3"/>
        <w:spacing w:before="0" w:beforeAutospacing="0" w:after="0" w:afterAutospacing="0"/>
        <w:textAlignment w:val="baseline"/>
        <w:rPr>
          <w:rFonts w:ascii="Lato" w:hAnsi="Lato"/>
          <w:b w:val="0"/>
          <w:bCs w:val="0"/>
          <w:caps/>
          <w:color w:val="282828"/>
          <w:sz w:val="22"/>
          <w:szCs w:val="22"/>
        </w:rPr>
      </w:pPr>
      <w:r w:rsidRPr="00BA5363">
        <w:rPr>
          <w:rFonts w:ascii="Lato" w:hAnsi="Lato"/>
          <w:b w:val="0"/>
          <w:bCs w:val="0"/>
          <w:caps/>
          <w:color w:val="282828"/>
          <w:sz w:val="22"/>
          <w:szCs w:val="22"/>
        </w:rPr>
        <w:t>LES EXAMENS COMPLÉMENTAIRES</w:t>
      </w:r>
    </w:p>
    <w:p w:rsidR="008C240F" w:rsidRPr="00BA5363" w:rsidRDefault="008C240F" w:rsidP="00BA5363">
      <w:pPr>
        <w:pStyle w:val="NormalWeb"/>
        <w:spacing w:before="0" w:beforeAutospacing="0" w:after="0" w:afterAutospacing="0"/>
        <w:jc w:val="both"/>
        <w:textAlignment w:val="baseline"/>
        <w:rPr>
          <w:rFonts w:ascii="Lato" w:hAnsi="Lato"/>
          <w:color w:val="282828"/>
          <w:sz w:val="22"/>
          <w:szCs w:val="22"/>
        </w:rPr>
      </w:pPr>
      <w:r w:rsidRPr="00BA5363">
        <w:rPr>
          <w:rFonts w:ascii="Lato" w:hAnsi="Lato"/>
          <w:color w:val="282828"/>
          <w:sz w:val="22"/>
          <w:szCs w:val="22"/>
        </w:rPr>
        <w:t>Le diagnostic de syphilis, orienté par les données de l'interrogatoire et de l‘examen clinique, est </w:t>
      </w:r>
      <w:hyperlink r:id="rId16" w:tgtFrame="_self" w:tooltip="Sérologie de la syphylis" w:history="1">
        <w:r w:rsidRPr="00BA5363">
          <w:rPr>
            <w:rStyle w:val="Lienhypertexte"/>
            <w:rFonts w:ascii="Lato" w:hAnsi="Lato"/>
            <w:color w:val="2B6DA9"/>
            <w:sz w:val="22"/>
            <w:szCs w:val="22"/>
            <w:bdr w:val="none" w:sz="0" w:space="0" w:color="auto" w:frame="1"/>
          </w:rPr>
          <w:t>confirmé par les </w:t>
        </w:r>
        <w:r w:rsidRPr="00BA5363">
          <w:rPr>
            <w:rStyle w:val="lev"/>
            <w:rFonts w:ascii="inherit" w:hAnsi="inherit"/>
            <w:color w:val="2B6DA9"/>
            <w:sz w:val="22"/>
            <w:szCs w:val="22"/>
            <w:bdr w:val="none" w:sz="0" w:space="0" w:color="auto" w:frame="1"/>
          </w:rPr>
          <w:t>examens effectués au laboratoire</w:t>
        </w:r>
        <w:r w:rsidRPr="00BA5363">
          <w:rPr>
            <w:rStyle w:val="Lienhypertexte"/>
            <w:rFonts w:ascii="Lato" w:hAnsi="Lato"/>
            <w:color w:val="2B6DA9"/>
            <w:sz w:val="22"/>
            <w:szCs w:val="22"/>
            <w:bdr w:val="none" w:sz="0" w:space="0" w:color="auto" w:frame="1"/>
          </w:rPr>
          <w:t> de biologie</w:t>
        </w:r>
      </w:hyperlink>
      <w:r w:rsidRPr="00BA5363">
        <w:rPr>
          <w:rFonts w:ascii="Lato" w:hAnsi="Lato"/>
          <w:color w:val="282828"/>
          <w:sz w:val="22"/>
          <w:szCs w:val="22"/>
        </w:rPr>
        <w:t>.</w:t>
      </w:r>
    </w:p>
    <w:p w:rsidR="008C240F" w:rsidRPr="00BA5363" w:rsidRDefault="008C240F" w:rsidP="00BA5363">
      <w:pPr>
        <w:pStyle w:val="Titre4"/>
        <w:spacing w:before="0" w:line="240" w:lineRule="auto"/>
        <w:textAlignment w:val="baseline"/>
        <w:rPr>
          <w:rFonts w:ascii="Lato" w:hAnsi="Lato"/>
          <w:b w:val="0"/>
          <w:bCs w:val="0"/>
          <w:caps/>
          <w:color w:val="282828"/>
        </w:rPr>
      </w:pPr>
      <w:r w:rsidRPr="00BA5363">
        <w:rPr>
          <w:rFonts w:ascii="Lato" w:hAnsi="Lato"/>
          <w:b w:val="0"/>
          <w:bCs w:val="0"/>
          <w:caps/>
          <w:color w:val="282828"/>
        </w:rPr>
        <w:t>AU STADE DE SYPHILIS PRIMAIRE</w:t>
      </w:r>
    </w:p>
    <w:p w:rsidR="008C240F" w:rsidRPr="00BA5363" w:rsidRDefault="008C240F" w:rsidP="00BA5363">
      <w:pPr>
        <w:pStyle w:val="NormalWeb"/>
        <w:spacing w:before="0" w:beforeAutospacing="0" w:after="0" w:afterAutospacing="0"/>
        <w:jc w:val="both"/>
        <w:textAlignment w:val="baseline"/>
        <w:rPr>
          <w:rFonts w:ascii="Lato" w:hAnsi="Lato"/>
          <w:color w:val="282828"/>
          <w:sz w:val="22"/>
          <w:szCs w:val="22"/>
        </w:rPr>
      </w:pP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L'ultramicroscope à fond noir</w:t>
      </w:r>
      <w:r w:rsidRPr="00BA5363">
        <w:rPr>
          <w:rFonts w:ascii="Lato" w:hAnsi="Lato"/>
          <w:color w:val="282828"/>
          <w:sz w:val="22"/>
          <w:szCs w:val="22"/>
        </w:rPr>
        <w:t> (microscope particulier pour la détection de cette bactérie) met </w:t>
      </w: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en évidence le tréponème sur les prélèvements</w:t>
      </w:r>
      <w:r w:rsidRPr="00BA5363">
        <w:rPr>
          <w:rFonts w:ascii="Lato" w:hAnsi="Lato"/>
          <w:color w:val="282828"/>
          <w:sz w:val="22"/>
          <w:szCs w:val="22"/>
        </w:rPr>
        <w:t> (sérosité au niveau du chancre) qui doivent être effectués </w:t>
      </w: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 xml:space="preserve">avant l'administration </w:t>
      </w: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lastRenderedPageBreak/>
        <w:t>d'</w:t>
      </w:r>
      <w:hyperlink r:id="rId17" w:tgtFrame="_self" w:history="1">
        <w:r w:rsidRPr="00BA5363">
          <w:rPr>
            <w:rStyle w:val="Lienhypertexte"/>
            <w:rFonts w:ascii="inherit" w:hAnsi="inherit"/>
            <w:b/>
            <w:bCs/>
            <w:color w:val="2B6DA9"/>
            <w:sz w:val="22"/>
            <w:szCs w:val="22"/>
            <w:bdr w:val="none" w:sz="0" w:space="0" w:color="auto" w:frame="1"/>
          </w:rPr>
          <w:t>antibiotiques</w:t>
        </w:r>
      </w:hyperlink>
      <w:r w:rsidRPr="00BA5363">
        <w:rPr>
          <w:rFonts w:ascii="Lato" w:hAnsi="Lato"/>
          <w:color w:val="282828"/>
          <w:sz w:val="22"/>
          <w:szCs w:val="22"/>
        </w:rPr>
        <w:t>. C'est le seul examen permettant de faire un diagnostic précoce à ce stade, les réactions sérologiques devenant positives 15 jours après l'apparition du chancre.</w:t>
      </w:r>
    </w:p>
    <w:p w:rsidR="008C240F" w:rsidRPr="00BA5363" w:rsidRDefault="008C240F" w:rsidP="00BA5363">
      <w:pPr>
        <w:pStyle w:val="Titre4"/>
        <w:spacing w:before="0" w:line="240" w:lineRule="auto"/>
        <w:textAlignment w:val="baseline"/>
        <w:rPr>
          <w:rFonts w:ascii="Lato" w:hAnsi="Lato"/>
          <w:b w:val="0"/>
          <w:bCs w:val="0"/>
          <w:caps/>
          <w:color w:val="282828"/>
        </w:rPr>
      </w:pPr>
      <w:r w:rsidRPr="00BA5363">
        <w:rPr>
          <w:rFonts w:ascii="Lato" w:hAnsi="Lato"/>
          <w:b w:val="0"/>
          <w:bCs w:val="0"/>
          <w:caps/>
          <w:color w:val="282828"/>
        </w:rPr>
        <w:t>AU STADE DE SYPHILIS SECONDAIRE</w:t>
      </w:r>
    </w:p>
    <w:p w:rsidR="008C240F" w:rsidRPr="00BA5363" w:rsidRDefault="008C240F" w:rsidP="00BA5363">
      <w:pPr>
        <w:pStyle w:val="NormalWeb"/>
        <w:spacing w:before="0" w:beforeAutospacing="0" w:after="0" w:afterAutospacing="0"/>
        <w:jc w:val="both"/>
        <w:textAlignment w:val="baseline"/>
        <w:rPr>
          <w:rFonts w:ascii="Lato" w:hAnsi="Lato"/>
          <w:color w:val="282828"/>
          <w:sz w:val="22"/>
          <w:szCs w:val="22"/>
        </w:rPr>
      </w:pPr>
      <w:r w:rsidRPr="00BA5363">
        <w:rPr>
          <w:rFonts w:ascii="Lato" w:hAnsi="Lato"/>
          <w:color w:val="282828"/>
          <w:sz w:val="22"/>
          <w:szCs w:val="22"/>
        </w:rPr>
        <w:t>L'examen à l'ultramicroscope à fond noir met en évidence la bactérie au niveau de certaines lésions cutanées (plaques érosives).</w:t>
      </w:r>
    </w:p>
    <w:p w:rsidR="008C240F" w:rsidRPr="00BA5363" w:rsidRDefault="008C240F" w:rsidP="00BA5363">
      <w:pPr>
        <w:pStyle w:val="NormalWeb"/>
        <w:spacing w:before="0" w:beforeAutospacing="0" w:after="0" w:afterAutospacing="0"/>
        <w:jc w:val="both"/>
        <w:textAlignment w:val="baseline"/>
        <w:rPr>
          <w:rFonts w:ascii="Lato" w:hAnsi="Lato"/>
          <w:color w:val="282828"/>
          <w:sz w:val="22"/>
          <w:szCs w:val="22"/>
        </w:rPr>
      </w:pPr>
      <w:r w:rsidRPr="00BA5363">
        <w:rPr>
          <w:rFonts w:ascii="Lato" w:hAnsi="Lato"/>
          <w:color w:val="282828"/>
          <w:sz w:val="22"/>
          <w:szCs w:val="22"/>
        </w:rPr>
        <w:t>Les réactions sérologiques visant à mettre en évidence des anticorps dirigés contre la bactérie sont positives à ce stade. On distingue :</w:t>
      </w:r>
    </w:p>
    <w:p w:rsidR="00BA5363" w:rsidRDefault="008C240F" w:rsidP="00BA5363">
      <w:pPr>
        <w:numPr>
          <w:ilvl w:val="0"/>
          <w:numId w:val="12"/>
        </w:numPr>
        <w:spacing w:after="0" w:line="240" w:lineRule="auto"/>
        <w:ind w:left="0"/>
        <w:jc w:val="both"/>
        <w:textAlignment w:val="baseline"/>
        <w:rPr>
          <w:rFonts w:ascii="Lato" w:hAnsi="Lato"/>
          <w:color w:val="282828"/>
        </w:rPr>
      </w:pPr>
      <w:r w:rsidRPr="00BA5363">
        <w:rPr>
          <w:rFonts w:ascii="Lato" w:hAnsi="Lato"/>
          <w:color w:val="282828"/>
        </w:rPr>
        <w:t>Le </w:t>
      </w:r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VDRL (</w:t>
      </w:r>
      <w:proofErr w:type="spellStart"/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Venereal</w:t>
      </w:r>
      <w:proofErr w:type="spellEnd"/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 xml:space="preserve"> </w:t>
      </w:r>
      <w:proofErr w:type="spellStart"/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Disease</w:t>
      </w:r>
      <w:proofErr w:type="spellEnd"/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 xml:space="preserve"> </w:t>
      </w:r>
      <w:proofErr w:type="spellStart"/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Research</w:t>
      </w:r>
      <w:proofErr w:type="spellEnd"/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 xml:space="preserve"> </w:t>
      </w:r>
      <w:proofErr w:type="spellStart"/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Laboratory</w:t>
      </w:r>
      <w:proofErr w:type="spellEnd"/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)</w:t>
      </w:r>
      <w:r w:rsidRPr="00BA5363">
        <w:rPr>
          <w:rFonts w:ascii="Lato" w:hAnsi="Lato"/>
          <w:color w:val="282828"/>
        </w:rPr>
        <w:t> se positive</w:t>
      </w:r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 2 à 3 semaines après l'apparition du chancre</w:t>
      </w:r>
      <w:r w:rsidRPr="00BA5363">
        <w:rPr>
          <w:rFonts w:ascii="Lato" w:hAnsi="Lato"/>
          <w:color w:val="282828"/>
        </w:rPr>
        <w:t>. C'est un test non spécifique (la positivité du test peut survenir en présence d'autres maladies comme les hépatites virales, la </w:t>
      </w:r>
      <w:hyperlink r:id="rId18" w:tgtFrame="_self" w:history="1">
        <w:r w:rsidRPr="00BA5363">
          <w:rPr>
            <w:rStyle w:val="Lienhypertexte"/>
            <w:rFonts w:ascii="Lato" w:hAnsi="Lato"/>
            <w:color w:val="2B6DA9"/>
            <w:bdr w:val="none" w:sz="0" w:space="0" w:color="auto" w:frame="1"/>
          </w:rPr>
          <w:t>mononucléose infectieuse</w:t>
        </w:r>
      </w:hyperlink>
      <w:r w:rsidRPr="00BA5363">
        <w:rPr>
          <w:rFonts w:ascii="Lato" w:hAnsi="Lato"/>
          <w:color w:val="282828"/>
        </w:rPr>
        <w:t>, la </w:t>
      </w:r>
      <w:hyperlink r:id="rId19" w:tgtFrame="_self" w:history="1">
        <w:r w:rsidRPr="00BA5363">
          <w:rPr>
            <w:rStyle w:val="Lienhypertexte"/>
            <w:rFonts w:ascii="Lato" w:hAnsi="Lato"/>
            <w:color w:val="2B6DA9"/>
            <w:bdr w:val="none" w:sz="0" w:space="0" w:color="auto" w:frame="1"/>
          </w:rPr>
          <w:t>varicelle</w:t>
        </w:r>
      </w:hyperlink>
      <w:r w:rsidRPr="00BA5363">
        <w:rPr>
          <w:rFonts w:ascii="Lato" w:hAnsi="Lato"/>
          <w:color w:val="282828"/>
        </w:rPr>
        <w:t>, la </w:t>
      </w:r>
      <w:hyperlink r:id="rId20" w:tgtFrame="_self" w:history="1">
        <w:r w:rsidRPr="00BA5363">
          <w:rPr>
            <w:rStyle w:val="Lienhypertexte"/>
            <w:rFonts w:ascii="Lato" w:hAnsi="Lato"/>
            <w:color w:val="2B6DA9"/>
            <w:bdr w:val="none" w:sz="0" w:space="0" w:color="auto" w:frame="1"/>
          </w:rPr>
          <w:t>tuberculose</w:t>
        </w:r>
      </w:hyperlink>
      <w:r w:rsidRPr="00BA5363">
        <w:rPr>
          <w:rFonts w:ascii="Lato" w:hAnsi="Lato"/>
          <w:color w:val="282828"/>
        </w:rPr>
        <w:t>, la </w:t>
      </w:r>
      <w:hyperlink r:id="rId21" w:tgtFrame="_self" w:history="1">
        <w:r w:rsidRPr="00BA5363">
          <w:rPr>
            <w:rStyle w:val="Lienhypertexte"/>
            <w:rFonts w:ascii="Lato" w:hAnsi="Lato"/>
            <w:color w:val="2B6DA9"/>
            <w:bdr w:val="none" w:sz="0" w:space="0" w:color="auto" w:frame="1"/>
          </w:rPr>
          <w:t>toxoplasmose</w:t>
        </w:r>
      </w:hyperlink>
      <w:r w:rsidRPr="00BA5363">
        <w:rPr>
          <w:rFonts w:ascii="Lato" w:hAnsi="Lato"/>
          <w:color w:val="282828"/>
        </w:rPr>
        <w:t xml:space="preserve">…) utilisé pour le dépistage de l'infection et son suivi. </w:t>
      </w:r>
    </w:p>
    <w:p w:rsidR="008C240F" w:rsidRPr="00BA5363" w:rsidRDefault="008C240F" w:rsidP="00BA5363">
      <w:pPr>
        <w:numPr>
          <w:ilvl w:val="0"/>
          <w:numId w:val="12"/>
        </w:numPr>
        <w:spacing w:after="0" w:line="240" w:lineRule="auto"/>
        <w:ind w:left="0"/>
        <w:jc w:val="both"/>
        <w:textAlignment w:val="baseline"/>
        <w:rPr>
          <w:rFonts w:ascii="Lato" w:hAnsi="Lato"/>
          <w:color w:val="282828"/>
        </w:rPr>
      </w:pPr>
      <w:r w:rsidRPr="00BA5363">
        <w:rPr>
          <w:rFonts w:ascii="Lato" w:hAnsi="Lato"/>
          <w:color w:val="282828"/>
        </w:rPr>
        <w:t>Le </w:t>
      </w:r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TPHA (</w:t>
      </w:r>
      <w:proofErr w:type="spellStart"/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Treponema</w:t>
      </w:r>
      <w:proofErr w:type="spellEnd"/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 xml:space="preserve"> Pallidum </w:t>
      </w:r>
      <w:proofErr w:type="spellStart"/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Haemagglutination</w:t>
      </w:r>
      <w:proofErr w:type="spellEnd"/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 xml:space="preserve"> </w:t>
      </w:r>
      <w:proofErr w:type="spellStart"/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Assay</w:t>
      </w:r>
      <w:proofErr w:type="spellEnd"/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)</w:t>
      </w:r>
      <w:r w:rsidRPr="00BA5363">
        <w:rPr>
          <w:rFonts w:ascii="Lato" w:hAnsi="Lato"/>
          <w:color w:val="282828"/>
        </w:rPr>
        <w:t> plus spécifique, plus précoce (</w:t>
      </w:r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positif vers le 10</w:t>
      </w:r>
      <w:r w:rsidRPr="00BA5363">
        <w:rPr>
          <w:rStyle w:val="lev"/>
          <w:rFonts w:ascii="inherit" w:hAnsi="inherit"/>
          <w:color w:val="282828"/>
          <w:bdr w:val="none" w:sz="0" w:space="0" w:color="auto" w:frame="1"/>
          <w:vertAlign w:val="superscript"/>
        </w:rPr>
        <w:t>e</w:t>
      </w:r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 jour du chancre</w:t>
      </w:r>
      <w:r w:rsidRPr="00BA5363">
        <w:rPr>
          <w:rFonts w:ascii="Lato" w:hAnsi="Lato"/>
          <w:color w:val="282828"/>
        </w:rPr>
        <w:t>) et persistant.</w:t>
      </w:r>
    </w:p>
    <w:p w:rsidR="008C240F" w:rsidRPr="00BA5363" w:rsidRDefault="008C240F" w:rsidP="00BA5363">
      <w:pPr>
        <w:numPr>
          <w:ilvl w:val="0"/>
          <w:numId w:val="12"/>
        </w:numPr>
        <w:spacing w:after="0" w:line="240" w:lineRule="auto"/>
        <w:ind w:left="0"/>
        <w:jc w:val="both"/>
        <w:textAlignment w:val="baseline"/>
        <w:rPr>
          <w:rFonts w:ascii="Lato" w:hAnsi="Lato"/>
          <w:color w:val="282828"/>
        </w:rPr>
      </w:pPr>
      <w:r w:rsidRPr="00BA5363">
        <w:rPr>
          <w:rFonts w:ascii="Lato" w:hAnsi="Lato"/>
          <w:color w:val="282828"/>
        </w:rPr>
        <w:t>Le </w:t>
      </w:r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 xml:space="preserve">FTA (Fluorescent </w:t>
      </w:r>
      <w:proofErr w:type="spellStart"/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Treponemal</w:t>
      </w:r>
      <w:proofErr w:type="spellEnd"/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 xml:space="preserve"> </w:t>
      </w:r>
      <w:proofErr w:type="spellStart"/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Antibody</w:t>
      </w:r>
      <w:proofErr w:type="spellEnd"/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)</w:t>
      </w:r>
      <w:r w:rsidRPr="00BA5363">
        <w:rPr>
          <w:rFonts w:ascii="Lato" w:hAnsi="Lato"/>
          <w:color w:val="282828"/>
        </w:rPr>
        <w:t> de </w:t>
      </w:r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spécificité quasi-</w:t>
      </w:r>
      <w:proofErr w:type="gramStart"/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parfaite</w:t>
      </w:r>
      <w:r w:rsidRPr="00BA5363">
        <w:rPr>
          <w:rFonts w:ascii="Lato" w:hAnsi="Lato"/>
          <w:color w:val="282828"/>
        </w:rPr>
        <w:t>(</w:t>
      </w:r>
      <w:proofErr w:type="gramEnd"/>
      <w:r w:rsidRPr="00BA5363">
        <w:rPr>
          <w:rFonts w:ascii="Lato" w:hAnsi="Lato"/>
          <w:color w:val="282828"/>
        </w:rPr>
        <w:t>quand le test est positif, on peut affirmer quasiment sans se tromper qu'il s'agit d'une syphilis) et plus précoce (positif </w:t>
      </w:r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vers le 7 </w:t>
      </w:r>
      <w:proofErr w:type="spellStart"/>
      <w:r w:rsidRPr="00BA5363">
        <w:rPr>
          <w:rStyle w:val="lev"/>
          <w:rFonts w:ascii="inherit" w:hAnsi="inherit"/>
          <w:color w:val="282828"/>
          <w:bdr w:val="none" w:sz="0" w:space="0" w:color="auto" w:frame="1"/>
          <w:vertAlign w:val="superscript"/>
        </w:rPr>
        <w:t>ème</w:t>
      </w:r>
      <w:proofErr w:type="spellEnd"/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 jour du chancre</w:t>
      </w:r>
      <w:r w:rsidRPr="00BA5363">
        <w:rPr>
          <w:rFonts w:ascii="Lato" w:hAnsi="Lato"/>
          <w:color w:val="282828"/>
        </w:rPr>
        <w:t>).</w:t>
      </w:r>
    </w:p>
    <w:p w:rsidR="008C240F" w:rsidRPr="00BA5363" w:rsidRDefault="008C240F" w:rsidP="00BA5363">
      <w:pPr>
        <w:numPr>
          <w:ilvl w:val="0"/>
          <w:numId w:val="12"/>
        </w:numPr>
        <w:spacing w:after="0" w:line="240" w:lineRule="auto"/>
        <w:ind w:left="0"/>
        <w:jc w:val="both"/>
        <w:textAlignment w:val="baseline"/>
        <w:rPr>
          <w:rFonts w:ascii="Lato" w:hAnsi="Lato"/>
          <w:color w:val="282828"/>
        </w:rPr>
      </w:pPr>
      <w:r w:rsidRPr="00BA5363">
        <w:rPr>
          <w:rFonts w:ascii="Lato" w:hAnsi="Lato"/>
          <w:color w:val="282828"/>
        </w:rPr>
        <w:t>Le</w:t>
      </w:r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 test de Nelson</w:t>
      </w:r>
      <w:r w:rsidRPr="00BA5363">
        <w:rPr>
          <w:rFonts w:ascii="Lato" w:hAnsi="Lato"/>
          <w:color w:val="282828"/>
        </w:rPr>
        <w:t> représente le test de référence en termes de spécificité. Il </w:t>
      </w:r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se positive tardivement (plus d'un mois)</w:t>
      </w:r>
      <w:r w:rsidRPr="00BA5363">
        <w:rPr>
          <w:rFonts w:ascii="Lato" w:hAnsi="Lato"/>
          <w:color w:val="282828"/>
        </w:rPr>
        <w:t> et ce de façon définitive. Ce test n'est cependant presque jamais utilisé, le FTA étant suffisant.</w:t>
      </w:r>
    </w:p>
    <w:p w:rsidR="008C240F" w:rsidRPr="00BA5363" w:rsidRDefault="008C240F" w:rsidP="00BA5363">
      <w:pPr>
        <w:numPr>
          <w:ilvl w:val="0"/>
          <w:numId w:val="12"/>
        </w:numPr>
        <w:spacing w:after="0" w:line="240" w:lineRule="auto"/>
        <w:ind w:left="0"/>
        <w:jc w:val="both"/>
        <w:textAlignment w:val="baseline"/>
        <w:rPr>
          <w:rFonts w:ascii="Lato" w:hAnsi="Lato"/>
          <w:color w:val="282828"/>
        </w:rPr>
      </w:pPr>
      <w:r w:rsidRPr="00BA5363">
        <w:rPr>
          <w:rFonts w:ascii="Lato" w:hAnsi="Lato"/>
          <w:color w:val="282828"/>
        </w:rPr>
        <w:t>Les </w:t>
      </w:r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tests ELISA</w:t>
      </w:r>
      <w:r w:rsidRPr="00BA5363">
        <w:rPr>
          <w:rFonts w:ascii="Lato" w:hAnsi="Lato"/>
          <w:color w:val="282828"/>
        </w:rPr>
        <w:t> qui détectent des anticorps contre le </w:t>
      </w:r>
      <w:proofErr w:type="spellStart"/>
      <w:r w:rsidRPr="00BA5363">
        <w:rPr>
          <w:rStyle w:val="Accentuation"/>
          <w:rFonts w:ascii="inherit" w:hAnsi="inherit"/>
          <w:color w:val="282828"/>
          <w:bdr w:val="none" w:sz="0" w:space="0" w:color="auto" w:frame="1"/>
        </w:rPr>
        <w:t>Treponema</w:t>
      </w:r>
      <w:proofErr w:type="spellEnd"/>
      <w:r w:rsidRPr="00BA5363">
        <w:rPr>
          <w:rFonts w:ascii="Lato" w:hAnsi="Lato"/>
          <w:color w:val="282828"/>
        </w:rPr>
        <w:t> sont encore peu utilisés en France.</w:t>
      </w:r>
    </w:p>
    <w:p w:rsidR="008C240F" w:rsidRPr="00BA5363" w:rsidRDefault="008C240F" w:rsidP="00BA5363">
      <w:pPr>
        <w:pStyle w:val="Titre2"/>
        <w:spacing w:before="0" w:beforeAutospacing="0" w:after="0" w:afterAutospacing="0"/>
        <w:textAlignment w:val="baseline"/>
        <w:rPr>
          <w:rFonts w:ascii="Lato" w:hAnsi="Lato"/>
          <w:b w:val="0"/>
          <w:bCs w:val="0"/>
          <w:color w:val="282828"/>
          <w:sz w:val="22"/>
          <w:szCs w:val="22"/>
        </w:rPr>
      </w:pPr>
      <w:r w:rsidRPr="00BA5363">
        <w:rPr>
          <w:rFonts w:ascii="Lato" w:hAnsi="Lato"/>
          <w:b w:val="0"/>
          <w:bCs w:val="0"/>
          <w:color w:val="282828"/>
          <w:sz w:val="22"/>
          <w:szCs w:val="22"/>
        </w:rPr>
        <w:t>Evolution de la syphilis</w:t>
      </w:r>
    </w:p>
    <w:p w:rsidR="008C240F" w:rsidRPr="00BA5363" w:rsidRDefault="008C240F" w:rsidP="00BA5363">
      <w:pPr>
        <w:pStyle w:val="NormalWeb"/>
        <w:spacing w:before="0" w:beforeAutospacing="0" w:after="0" w:afterAutospacing="0"/>
        <w:jc w:val="both"/>
        <w:textAlignment w:val="baseline"/>
        <w:rPr>
          <w:rFonts w:ascii="Lato" w:hAnsi="Lato"/>
          <w:color w:val="282828"/>
          <w:sz w:val="22"/>
          <w:szCs w:val="22"/>
        </w:rPr>
      </w:pPr>
      <w:r w:rsidRPr="00BA5363">
        <w:rPr>
          <w:rFonts w:ascii="Lato" w:hAnsi="Lato"/>
          <w:color w:val="282828"/>
          <w:sz w:val="22"/>
          <w:szCs w:val="22"/>
        </w:rPr>
        <w:t>Les formes primaires et secondaires </w:t>
      </w: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traitées correctement guérissent sans séquelle</w:t>
      </w:r>
      <w:r w:rsidRPr="00BA5363">
        <w:rPr>
          <w:rFonts w:ascii="Lato" w:hAnsi="Lato"/>
          <w:color w:val="282828"/>
          <w:sz w:val="22"/>
          <w:szCs w:val="22"/>
        </w:rPr>
        <w:t>.</w:t>
      </w:r>
    </w:p>
    <w:p w:rsidR="008C240F" w:rsidRPr="00BA5363" w:rsidRDefault="008C240F" w:rsidP="00BA5363">
      <w:pPr>
        <w:pStyle w:val="NormalWeb"/>
        <w:spacing w:before="0" w:beforeAutospacing="0" w:after="0" w:afterAutospacing="0"/>
        <w:jc w:val="both"/>
        <w:textAlignment w:val="baseline"/>
        <w:rPr>
          <w:rFonts w:ascii="Lato" w:hAnsi="Lato"/>
          <w:color w:val="282828"/>
          <w:sz w:val="22"/>
          <w:szCs w:val="22"/>
        </w:rPr>
      </w:pP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Sans traitement</w:t>
      </w:r>
      <w:r w:rsidRPr="00BA5363">
        <w:rPr>
          <w:rFonts w:ascii="Lato" w:hAnsi="Lato"/>
          <w:color w:val="282828"/>
          <w:sz w:val="22"/>
          <w:szCs w:val="22"/>
        </w:rPr>
        <w:t>,  l'évolution se fait:</w:t>
      </w:r>
    </w:p>
    <w:p w:rsidR="008C240F" w:rsidRPr="00BA5363" w:rsidRDefault="008C240F" w:rsidP="00BA5363">
      <w:pPr>
        <w:numPr>
          <w:ilvl w:val="0"/>
          <w:numId w:val="13"/>
        </w:numPr>
        <w:spacing w:after="0" w:line="240" w:lineRule="auto"/>
        <w:ind w:left="0"/>
        <w:jc w:val="both"/>
        <w:textAlignment w:val="baseline"/>
        <w:rPr>
          <w:rFonts w:ascii="Lato" w:hAnsi="Lato"/>
          <w:color w:val="282828"/>
        </w:rPr>
      </w:pPr>
      <w:r w:rsidRPr="00BA5363">
        <w:rPr>
          <w:rFonts w:ascii="Lato" w:hAnsi="Lato"/>
          <w:color w:val="282828"/>
        </w:rPr>
        <w:t>dans </w:t>
      </w:r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un tiers des cas vers la guérison spontanée ;</w:t>
      </w:r>
      <w:r w:rsidRPr="00BA5363">
        <w:rPr>
          <w:rFonts w:ascii="Lato" w:hAnsi="Lato"/>
          <w:color w:val="282828"/>
        </w:rPr>
        <w:t> </w:t>
      </w:r>
    </w:p>
    <w:p w:rsidR="008C240F" w:rsidRPr="00BA5363" w:rsidRDefault="008C240F" w:rsidP="00BA5363">
      <w:pPr>
        <w:numPr>
          <w:ilvl w:val="0"/>
          <w:numId w:val="13"/>
        </w:numPr>
        <w:spacing w:after="0" w:line="240" w:lineRule="auto"/>
        <w:ind w:left="0"/>
        <w:jc w:val="both"/>
        <w:textAlignment w:val="baseline"/>
        <w:rPr>
          <w:rFonts w:ascii="Lato" w:hAnsi="Lato"/>
          <w:color w:val="282828"/>
        </w:rPr>
      </w:pPr>
      <w:r w:rsidRPr="00BA5363">
        <w:rPr>
          <w:rFonts w:ascii="Lato" w:hAnsi="Lato"/>
          <w:color w:val="282828"/>
        </w:rPr>
        <w:t>dans un autre tiers des cas </w:t>
      </w:r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vers les formes secondaires et tertiaires</w:t>
      </w:r>
      <w:r w:rsidRPr="00BA5363">
        <w:rPr>
          <w:rFonts w:ascii="Lato" w:hAnsi="Lato"/>
          <w:color w:val="282828"/>
        </w:rPr>
        <w:t> ; </w:t>
      </w:r>
    </w:p>
    <w:p w:rsidR="008C240F" w:rsidRPr="00BA5363" w:rsidRDefault="008C240F" w:rsidP="00BA5363">
      <w:pPr>
        <w:numPr>
          <w:ilvl w:val="0"/>
          <w:numId w:val="13"/>
        </w:numPr>
        <w:spacing w:after="0" w:line="240" w:lineRule="auto"/>
        <w:ind w:left="0"/>
        <w:jc w:val="both"/>
        <w:textAlignment w:val="baseline"/>
        <w:rPr>
          <w:rFonts w:ascii="Lato" w:hAnsi="Lato"/>
          <w:color w:val="282828"/>
        </w:rPr>
      </w:pPr>
      <w:r w:rsidRPr="00BA5363">
        <w:rPr>
          <w:rFonts w:ascii="Lato" w:hAnsi="Lato"/>
          <w:color w:val="282828"/>
        </w:rPr>
        <w:t>dans un dernier tiers </w:t>
      </w:r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vers une syphilis latente</w:t>
      </w:r>
      <w:r w:rsidRPr="00BA5363">
        <w:rPr>
          <w:rFonts w:ascii="Lato" w:hAnsi="Lato"/>
          <w:color w:val="282828"/>
        </w:rPr>
        <w:t>.</w:t>
      </w:r>
    </w:p>
    <w:p w:rsidR="008C240F" w:rsidRPr="00BA5363" w:rsidRDefault="008C240F" w:rsidP="00BA5363">
      <w:pPr>
        <w:pStyle w:val="Titre2"/>
        <w:spacing w:before="0" w:beforeAutospacing="0" w:after="0" w:afterAutospacing="0"/>
        <w:textAlignment w:val="baseline"/>
        <w:rPr>
          <w:rFonts w:ascii="Lato" w:hAnsi="Lato"/>
          <w:b w:val="0"/>
          <w:bCs w:val="0"/>
          <w:color w:val="282828"/>
          <w:sz w:val="22"/>
          <w:szCs w:val="22"/>
        </w:rPr>
      </w:pPr>
      <w:r w:rsidRPr="00BA5363">
        <w:rPr>
          <w:rFonts w:ascii="Lato" w:hAnsi="Lato"/>
          <w:b w:val="0"/>
          <w:bCs w:val="0"/>
          <w:color w:val="282828"/>
          <w:sz w:val="22"/>
          <w:szCs w:val="22"/>
        </w:rPr>
        <w:t>Ne pas confondre avec...</w:t>
      </w:r>
    </w:p>
    <w:p w:rsidR="008C240F" w:rsidRPr="00BA5363" w:rsidRDefault="008C240F" w:rsidP="00BA5363">
      <w:pPr>
        <w:pStyle w:val="Titre3"/>
        <w:spacing w:before="0" w:beforeAutospacing="0" w:after="0" w:afterAutospacing="0"/>
        <w:textAlignment w:val="baseline"/>
        <w:rPr>
          <w:rFonts w:ascii="Lato" w:hAnsi="Lato"/>
          <w:b w:val="0"/>
          <w:bCs w:val="0"/>
          <w:caps/>
          <w:color w:val="282828"/>
          <w:sz w:val="22"/>
          <w:szCs w:val="22"/>
        </w:rPr>
      </w:pPr>
      <w:r w:rsidRPr="00BA5363">
        <w:rPr>
          <w:rFonts w:ascii="Lato" w:hAnsi="Lato"/>
          <w:b w:val="0"/>
          <w:bCs w:val="0"/>
          <w:caps/>
          <w:color w:val="282828"/>
          <w:sz w:val="22"/>
          <w:szCs w:val="22"/>
        </w:rPr>
        <w:t>LE CHANCRE MOU</w:t>
      </w:r>
    </w:p>
    <w:p w:rsidR="008C240F" w:rsidRPr="00BA5363" w:rsidRDefault="008C240F" w:rsidP="00BA5363">
      <w:pPr>
        <w:pStyle w:val="NormalWeb"/>
        <w:spacing w:before="0" w:beforeAutospacing="0" w:after="0" w:afterAutospacing="0"/>
        <w:jc w:val="both"/>
        <w:textAlignment w:val="baseline"/>
        <w:rPr>
          <w:rFonts w:ascii="Lato" w:hAnsi="Lato"/>
          <w:color w:val="282828"/>
          <w:sz w:val="22"/>
          <w:szCs w:val="22"/>
        </w:rPr>
      </w:pP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 xml:space="preserve">Dans le cas de la syphilis </w:t>
      </w:r>
      <w:proofErr w:type="gramStart"/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primaire ,</w:t>
      </w:r>
      <w:proofErr w:type="gramEnd"/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 </w:t>
      </w:r>
      <w:r w:rsidRPr="00BA5363">
        <w:rPr>
          <w:rFonts w:ascii="Lato" w:hAnsi="Lato"/>
          <w:color w:val="282828"/>
          <w:sz w:val="22"/>
          <w:szCs w:val="22"/>
        </w:rPr>
        <w:t>le chancre syphilitique peut être confondu avec le chancre mou (lié à un autre germe). Les caractéristiques cliniques du chancre et les examens complémentaires permettent de les différencier.</w:t>
      </w:r>
    </w:p>
    <w:p w:rsidR="008C240F" w:rsidRPr="00BA5363" w:rsidRDefault="008C240F" w:rsidP="00BA5363">
      <w:pPr>
        <w:pStyle w:val="Titre3"/>
        <w:spacing w:before="0" w:beforeAutospacing="0" w:after="0" w:afterAutospacing="0"/>
        <w:textAlignment w:val="baseline"/>
        <w:rPr>
          <w:rFonts w:ascii="Lato" w:hAnsi="Lato"/>
          <w:b w:val="0"/>
          <w:bCs w:val="0"/>
          <w:caps/>
          <w:color w:val="282828"/>
          <w:sz w:val="22"/>
          <w:szCs w:val="22"/>
        </w:rPr>
      </w:pPr>
      <w:r w:rsidRPr="00BA5363">
        <w:rPr>
          <w:rFonts w:ascii="Lato" w:hAnsi="Lato"/>
          <w:b w:val="0"/>
          <w:bCs w:val="0"/>
          <w:caps/>
          <w:color w:val="282828"/>
          <w:sz w:val="22"/>
          <w:szCs w:val="22"/>
        </w:rPr>
        <w:t>D'AUTRES MALADIES DERMATOLOGIQUES</w:t>
      </w:r>
    </w:p>
    <w:p w:rsidR="008C240F" w:rsidRPr="00BA5363" w:rsidRDefault="008C240F" w:rsidP="00BA5363">
      <w:pPr>
        <w:pStyle w:val="Titre2"/>
        <w:spacing w:before="0" w:beforeAutospacing="0" w:after="0" w:afterAutospacing="0"/>
        <w:textAlignment w:val="baseline"/>
        <w:rPr>
          <w:rFonts w:ascii="Lato" w:hAnsi="Lato"/>
          <w:b w:val="0"/>
          <w:bCs w:val="0"/>
          <w:color w:val="282828"/>
          <w:sz w:val="22"/>
          <w:szCs w:val="22"/>
        </w:rPr>
      </w:pPr>
      <w:r w:rsidRPr="00BA5363">
        <w:rPr>
          <w:rFonts w:ascii="Lato" w:hAnsi="Lato"/>
          <w:b w:val="0"/>
          <w:bCs w:val="0"/>
          <w:color w:val="282828"/>
          <w:sz w:val="22"/>
          <w:szCs w:val="22"/>
        </w:rPr>
        <w:t>Traitement de la syphilis</w:t>
      </w:r>
    </w:p>
    <w:p w:rsidR="008C240F" w:rsidRPr="00BA5363" w:rsidRDefault="008C240F" w:rsidP="00BA5363">
      <w:pPr>
        <w:pStyle w:val="NormalWeb"/>
        <w:spacing w:before="0" w:beforeAutospacing="0" w:after="0" w:afterAutospacing="0"/>
        <w:jc w:val="both"/>
        <w:textAlignment w:val="baseline"/>
        <w:rPr>
          <w:rFonts w:ascii="Lato" w:hAnsi="Lato"/>
          <w:color w:val="282828"/>
          <w:sz w:val="22"/>
          <w:szCs w:val="22"/>
        </w:rPr>
      </w:pPr>
      <w:r w:rsidRPr="00BA5363">
        <w:rPr>
          <w:rFonts w:ascii="Lato" w:hAnsi="Lato"/>
          <w:color w:val="282828"/>
          <w:sz w:val="22"/>
          <w:szCs w:val="22"/>
        </w:rPr>
        <w:t>La syphilis est une </w:t>
      </w: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maladie à déclaration obligatoire</w:t>
      </w:r>
      <w:r w:rsidRPr="00BA5363">
        <w:rPr>
          <w:rFonts w:ascii="Lato" w:hAnsi="Lato"/>
          <w:color w:val="282828"/>
          <w:sz w:val="22"/>
          <w:szCs w:val="22"/>
        </w:rPr>
        <w:t> (nominale si le patient refuse de se traiter).</w:t>
      </w:r>
    </w:p>
    <w:p w:rsidR="008C240F" w:rsidRPr="00BA5363" w:rsidRDefault="008C240F" w:rsidP="00BA5363">
      <w:pPr>
        <w:pStyle w:val="NormalWeb"/>
        <w:spacing w:before="0" w:beforeAutospacing="0" w:after="0" w:afterAutospacing="0"/>
        <w:jc w:val="both"/>
        <w:textAlignment w:val="baseline"/>
        <w:rPr>
          <w:rFonts w:ascii="Lato" w:hAnsi="Lato"/>
          <w:color w:val="282828"/>
          <w:sz w:val="22"/>
          <w:szCs w:val="22"/>
        </w:rPr>
      </w:pPr>
      <w:r w:rsidRPr="00BA5363">
        <w:rPr>
          <w:rFonts w:ascii="Lato" w:hAnsi="Lato"/>
          <w:color w:val="282828"/>
          <w:sz w:val="22"/>
          <w:szCs w:val="22"/>
        </w:rPr>
        <w:t>Il repose sur </w:t>
      </w: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l'administration d'antibiotiques</w:t>
      </w:r>
      <w:r w:rsidRPr="00BA5363">
        <w:rPr>
          <w:rFonts w:ascii="Lato" w:hAnsi="Lato"/>
          <w:color w:val="282828"/>
          <w:sz w:val="22"/>
          <w:szCs w:val="22"/>
        </w:rPr>
        <w:t>. La </w:t>
      </w:r>
      <w:hyperlink r:id="rId22" w:tgtFrame="_self" w:history="1">
        <w:r w:rsidRPr="00BA5363">
          <w:rPr>
            <w:rStyle w:val="Lienhypertexte"/>
            <w:rFonts w:ascii="inherit" w:hAnsi="inherit"/>
            <w:b/>
            <w:bCs/>
            <w:color w:val="2B6DA9"/>
            <w:sz w:val="22"/>
            <w:szCs w:val="22"/>
            <w:bdr w:val="none" w:sz="0" w:space="0" w:color="auto" w:frame="1"/>
          </w:rPr>
          <w:t>pénicilline G</w:t>
        </w:r>
      </w:hyperlink>
      <w:r w:rsidRPr="00BA5363">
        <w:rPr>
          <w:rFonts w:ascii="Lato" w:hAnsi="Lato"/>
          <w:color w:val="282828"/>
          <w:sz w:val="22"/>
          <w:szCs w:val="22"/>
        </w:rPr>
        <w:t> représente l'antibiotique de référence. D'autres antibiotiques peuvent être utilisés en cas d'allergie à la pénicilline G (macrolides, cyclines).</w:t>
      </w:r>
    </w:p>
    <w:p w:rsidR="008C240F" w:rsidRPr="00BA5363" w:rsidRDefault="008C240F" w:rsidP="00BA5363">
      <w:pPr>
        <w:pStyle w:val="NormalWeb"/>
        <w:spacing w:before="0" w:beforeAutospacing="0" w:after="0" w:afterAutospacing="0"/>
        <w:jc w:val="both"/>
        <w:textAlignment w:val="baseline"/>
        <w:rPr>
          <w:rFonts w:ascii="Lato" w:hAnsi="Lato"/>
          <w:color w:val="282828"/>
          <w:sz w:val="22"/>
          <w:szCs w:val="22"/>
        </w:rPr>
      </w:pPr>
      <w:r w:rsidRPr="00BA5363">
        <w:rPr>
          <w:rFonts w:ascii="Lato" w:hAnsi="Lato"/>
          <w:color w:val="282828"/>
          <w:sz w:val="22"/>
          <w:szCs w:val="22"/>
        </w:rPr>
        <w:t>Les modalités de traitement (en particulier la posologie) varient en fonction du caractère primaire, secondaire ou tertiaire de la syphilis.</w:t>
      </w:r>
    </w:p>
    <w:p w:rsidR="008C240F" w:rsidRPr="00BA5363" w:rsidRDefault="008C240F" w:rsidP="00BA5363">
      <w:pPr>
        <w:numPr>
          <w:ilvl w:val="0"/>
          <w:numId w:val="14"/>
        </w:numPr>
        <w:spacing w:after="0" w:line="240" w:lineRule="auto"/>
        <w:ind w:left="0"/>
        <w:jc w:val="both"/>
        <w:textAlignment w:val="baseline"/>
        <w:rPr>
          <w:rFonts w:ascii="Lato" w:hAnsi="Lato"/>
          <w:color w:val="282828"/>
        </w:rPr>
      </w:pPr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 Syphilis primaire : </w:t>
      </w:r>
      <w:r w:rsidRPr="00BA5363">
        <w:rPr>
          <w:rFonts w:ascii="Lato" w:hAnsi="Lato"/>
          <w:color w:val="282828"/>
        </w:rPr>
        <w:t xml:space="preserve">1 seule injection </w:t>
      </w:r>
      <w:proofErr w:type="spellStart"/>
      <w:r w:rsidRPr="00BA5363">
        <w:rPr>
          <w:rFonts w:ascii="Lato" w:hAnsi="Lato"/>
          <w:color w:val="282828"/>
        </w:rPr>
        <w:t>intra-musculaire</w:t>
      </w:r>
      <w:proofErr w:type="spellEnd"/>
      <w:r w:rsidRPr="00BA5363">
        <w:rPr>
          <w:rFonts w:ascii="Lato" w:hAnsi="Lato"/>
          <w:color w:val="282828"/>
        </w:rPr>
        <w:t xml:space="preserve"> de </w:t>
      </w:r>
      <w:proofErr w:type="spellStart"/>
      <w:r w:rsidRPr="00BA5363">
        <w:rPr>
          <w:rFonts w:ascii="Lato" w:hAnsi="Lato"/>
          <w:color w:val="282828"/>
        </w:rPr>
        <w:fldChar w:fldCharType="begin"/>
      </w:r>
      <w:r w:rsidRPr="00BA5363">
        <w:rPr>
          <w:rFonts w:ascii="Lato" w:hAnsi="Lato"/>
          <w:color w:val="282828"/>
        </w:rPr>
        <w:instrText xml:space="preserve"> HYPERLINK "http://www.doctissimo.fr/principe-actif-5120-BENZATHINE-BENZYLPENICILLINE.htm" \t "_self" </w:instrText>
      </w:r>
      <w:r w:rsidRPr="00BA5363">
        <w:rPr>
          <w:rFonts w:ascii="Lato" w:hAnsi="Lato"/>
          <w:color w:val="282828"/>
        </w:rPr>
        <w:fldChar w:fldCharType="separate"/>
      </w:r>
      <w:r w:rsidRPr="00BA5363">
        <w:rPr>
          <w:rStyle w:val="Lienhypertexte"/>
          <w:rFonts w:ascii="Lato" w:hAnsi="Lato"/>
          <w:color w:val="2B6DA9"/>
          <w:bdr w:val="none" w:sz="0" w:space="0" w:color="auto" w:frame="1"/>
        </w:rPr>
        <w:t>benzathine</w:t>
      </w:r>
      <w:proofErr w:type="spellEnd"/>
      <w:r w:rsidRPr="00BA5363">
        <w:rPr>
          <w:rStyle w:val="Lienhypertexte"/>
          <w:rFonts w:ascii="Lato" w:hAnsi="Lato"/>
          <w:color w:val="2B6DA9"/>
          <w:bdr w:val="none" w:sz="0" w:space="0" w:color="auto" w:frame="1"/>
        </w:rPr>
        <w:t>-pénicilline</w:t>
      </w:r>
      <w:r w:rsidRPr="00BA5363">
        <w:rPr>
          <w:rFonts w:ascii="Lato" w:hAnsi="Lato"/>
          <w:color w:val="282828"/>
        </w:rPr>
        <w:fldChar w:fldCharType="end"/>
      </w:r>
      <w:r w:rsidRPr="00BA5363">
        <w:rPr>
          <w:rFonts w:ascii="Lato" w:hAnsi="Lato"/>
          <w:color w:val="282828"/>
        </w:rPr>
        <w:t> . En cas d'allergie, </w:t>
      </w:r>
      <w:hyperlink r:id="rId23" w:tgtFrame="_self" w:history="1">
        <w:r w:rsidRPr="00BA5363">
          <w:rPr>
            <w:rStyle w:val="Lienhypertexte"/>
            <w:rFonts w:ascii="Lato" w:hAnsi="Lato"/>
            <w:color w:val="2B6DA9"/>
            <w:bdr w:val="none" w:sz="0" w:space="0" w:color="auto" w:frame="1"/>
          </w:rPr>
          <w:t>macrolides</w:t>
        </w:r>
      </w:hyperlink>
      <w:r w:rsidRPr="00BA5363">
        <w:rPr>
          <w:rFonts w:ascii="Lato" w:hAnsi="Lato"/>
          <w:color w:val="282828"/>
        </w:rPr>
        <w:t> ou </w:t>
      </w:r>
      <w:hyperlink r:id="rId24" w:tgtFrame="_self" w:history="1">
        <w:r w:rsidRPr="00BA5363">
          <w:rPr>
            <w:rStyle w:val="Lienhypertexte"/>
            <w:rFonts w:ascii="Lato" w:hAnsi="Lato"/>
            <w:color w:val="2B6DA9"/>
            <w:bdr w:val="none" w:sz="0" w:space="0" w:color="auto" w:frame="1"/>
          </w:rPr>
          <w:t>cyclines</w:t>
        </w:r>
      </w:hyperlink>
      <w:r w:rsidRPr="00BA5363">
        <w:rPr>
          <w:rFonts w:ascii="Lato" w:hAnsi="Lato"/>
          <w:color w:val="282828"/>
        </w:rPr>
        <w:t> pendant 15 jours par voie orale.</w:t>
      </w:r>
    </w:p>
    <w:p w:rsidR="008C240F" w:rsidRPr="00BA5363" w:rsidRDefault="008C240F" w:rsidP="00BA5363">
      <w:pPr>
        <w:numPr>
          <w:ilvl w:val="0"/>
          <w:numId w:val="14"/>
        </w:numPr>
        <w:spacing w:after="0" w:line="240" w:lineRule="auto"/>
        <w:ind w:left="0"/>
        <w:jc w:val="both"/>
        <w:textAlignment w:val="baseline"/>
        <w:rPr>
          <w:rFonts w:ascii="Lato" w:hAnsi="Lato"/>
          <w:color w:val="282828"/>
        </w:rPr>
      </w:pPr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Syphilis secondaire :</w:t>
      </w:r>
      <w:r w:rsidRPr="00BA5363">
        <w:rPr>
          <w:rFonts w:ascii="Lato" w:hAnsi="Lato"/>
          <w:color w:val="282828"/>
        </w:rPr>
        <w:t xml:space="preserve"> 3 injections </w:t>
      </w:r>
      <w:proofErr w:type="spellStart"/>
      <w:r w:rsidRPr="00BA5363">
        <w:rPr>
          <w:rFonts w:ascii="Lato" w:hAnsi="Lato"/>
          <w:color w:val="282828"/>
        </w:rPr>
        <w:t>intra-musculaire</w:t>
      </w:r>
      <w:proofErr w:type="spellEnd"/>
      <w:r w:rsidRPr="00BA5363">
        <w:rPr>
          <w:rFonts w:ascii="Lato" w:hAnsi="Lato"/>
          <w:color w:val="282828"/>
        </w:rPr>
        <w:t xml:space="preserve"> à une semaine d'intervalle de </w:t>
      </w:r>
      <w:proofErr w:type="spellStart"/>
      <w:r w:rsidRPr="00BA5363">
        <w:rPr>
          <w:rFonts w:ascii="Lato" w:hAnsi="Lato"/>
          <w:color w:val="282828"/>
        </w:rPr>
        <w:t>benzathine</w:t>
      </w:r>
      <w:proofErr w:type="spellEnd"/>
      <w:r w:rsidRPr="00BA5363">
        <w:rPr>
          <w:rFonts w:ascii="Lato" w:hAnsi="Lato"/>
          <w:color w:val="282828"/>
        </w:rPr>
        <w:t>-pénicilline ou une injection de pénicilline retard. En cas d'allergie, macrolides ou cyclines pendant 15 jours par voie orale.</w:t>
      </w:r>
    </w:p>
    <w:p w:rsidR="008C240F" w:rsidRPr="00BA5363" w:rsidRDefault="008C240F" w:rsidP="00BA5363">
      <w:pPr>
        <w:numPr>
          <w:ilvl w:val="0"/>
          <w:numId w:val="14"/>
        </w:numPr>
        <w:spacing w:after="0" w:line="240" w:lineRule="auto"/>
        <w:ind w:left="0"/>
        <w:jc w:val="both"/>
        <w:textAlignment w:val="baseline"/>
        <w:rPr>
          <w:rFonts w:ascii="Lato" w:hAnsi="Lato"/>
          <w:color w:val="282828"/>
        </w:rPr>
      </w:pPr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 Syphilis tertiaire (atteinte neurologique) :</w:t>
      </w:r>
      <w:r w:rsidRPr="00BA5363">
        <w:rPr>
          <w:rFonts w:ascii="Lato" w:hAnsi="Lato"/>
          <w:color w:val="282828"/>
        </w:rPr>
        <w:t xml:space="preserve"> 3 injections de </w:t>
      </w:r>
      <w:proofErr w:type="spellStart"/>
      <w:r w:rsidRPr="00BA5363">
        <w:rPr>
          <w:rFonts w:ascii="Lato" w:hAnsi="Lato"/>
          <w:color w:val="282828"/>
        </w:rPr>
        <w:t>benzathine</w:t>
      </w:r>
      <w:proofErr w:type="spellEnd"/>
      <w:r w:rsidRPr="00BA5363">
        <w:rPr>
          <w:rFonts w:ascii="Lato" w:hAnsi="Lato"/>
          <w:color w:val="282828"/>
        </w:rPr>
        <w:t>-pénicilline à une semaine d'intervalle, ou </w:t>
      </w:r>
      <w:r w:rsidRPr="00BA5363">
        <w:rPr>
          <w:rStyle w:val="lev"/>
          <w:rFonts w:ascii="inherit" w:hAnsi="inherit"/>
          <w:color w:val="282828"/>
          <w:bdr w:val="none" w:sz="0" w:space="0" w:color="auto" w:frame="1"/>
        </w:rPr>
        <w:t> </w:t>
      </w:r>
      <w:r w:rsidRPr="00BA5363">
        <w:rPr>
          <w:rFonts w:ascii="Lato" w:hAnsi="Lato"/>
          <w:color w:val="282828"/>
        </w:rPr>
        <w:t xml:space="preserve">pénicilline G par voie </w:t>
      </w:r>
      <w:proofErr w:type="spellStart"/>
      <w:r w:rsidRPr="00BA5363">
        <w:rPr>
          <w:rFonts w:ascii="Lato" w:hAnsi="Lato"/>
          <w:color w:val="282828"/>
        </w:rPr>
        <w:t>intra-veineuse</w:t>
      </w:r>
      <w:proofErr w:type="spellEnd"/>
      <w:r w:rsidRPr="00BA5363">
        <w:rPr>
          <w:rFonts w:ascii="Lato" w:hAnsi="Lato"/>
          <w:color w:val="282828"/>
        </w:rPr>
        <w:t xml:space="preserve"> pendant 15 jours.</w:t>
      </w:r>
    </w:p>
    <w:p w:rsidR="008C240F" w:rsidRPr="00BA5363" w:rsidRDefault="008C240F" w:rsidP="00BA5363">
      <w:pPr>
        <w:pStyle w:val="NormalWeb"/>
        <w:spacing w:before="0" w:beforeAutospacing="0" w:after="0" w:afterAutospacing="0"/>
        <w:jc w:val="both"/>
        <w:textAlignment w:val="baseline"/>
        <w:rPr>
          <w:rFonts w:ascii="Lato" w:hAnsi="Lato"/>
          <w:color w:val="282828"/>
          <w:sz w:val="22"/>
          <w:szCs w:val="22"/>
        </w:rPr>
      </w:pPr>
      <w:r w:rsidRPr="00BA5363">
        <w:rPr>
          <w:rFonts w:ascii="Lato" w:hAnsi="Lato"/>
          <w:color w:val="282828"/>
          <w:sz w:val="22"/>
          <w:szCs w:val="22"/>
        </w:rPr>
        <w:t>Chez le patient infecté, le médecin </w:t>
      </w: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recherche de façon systématique d'autres</w:t>
      </w:r>
      <w:r w:rsidR="00BA5363"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 xml:space="preserve"> </w:t>
      </w:r>
      <w:hyperlink r:id="rId25" w:tgtFrame="_self" w:history="1">
        <w:r w:rsidRPr="00BA5363">
          <w:rPr>
            <w:rStyle w:val="Lienhypertexte"/>
            <w:rFonts w:ascii="inherit" w:hAnsi="inherit"/>
            <w:b/>
            <w:bCs/>
            <w:color w:val="2B6DA9"/>
            <w:sz w:val="22"/>
            <w:szCs w:val="22"/>
            <w:bdr w:val="none" w:sz="0" w:space="0" w:color="auto" w:frame="1"/>
          </w:rPr>
          <w:t>maladies sexuellement transmissibles</w:t>
        </w:r>
      </w:hyperlink>
      <w:r w:rsidRPr="00BA5363">
        <w:rPr>
          <w:rFonts w:ascii="Lato" w:hAnsi="Lato"/>
          <w:color w:val="282828"/>
          <w:sz w:val="22"/>
          <w:szCs w:val="22"/>
        </w:rPr>
        <w:t> (de façon systématique une infection à VIH) et les traite si nécessaire.</w:t>
      </w:r>
    </w:p>
    <w:p w:rsidR="008C240F" w:rsidRPr="00BA5363" w:rsidRDefault="008C240F" w:rsidP="00BA5363">
      <w:pPr>
        <w:pStyle w:val="NormalWeb"/>
        <w:spacing w:before="0" w:beforeAutospacing="0" w:after="0" w:afterAutospacing="0"/>
        <w:jc w:val="both"/>
        <w:textAlignment w:val="baseline"/>
        <w:rPr>
          <w:rFonts w:ascii="Lato" w:hAnsi="Lato"/>
          <w:color w:val="282828"/>
          <w:sz w:val="22"/>
          <w:szCs w:val="22"/>
        </w:rPr>
      </w:pPr>
      <w:r w:rsidRPr="00BA5363">
        <w:rPr>
          <w:rFonts w:ascii="Lato" w:hAnsi="Lato"/>
          <w:color w:val="282828"/>
          <w:sz w:val="22"/>
          <w:szCs w:val="22"/>
        </w:rPr>
        <w:t>Le médecin doit </w:t>
      </w: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dépister et traiter si nécessaire les partenaires sexuels du sujet infecté</w:t>
      </w:r>
      <w:r w:rsidRPr="00BA5363">
        <w:rPr>
          <w:rFonts w:ascii="Lato" w:hAnsi="Lato"/>
          <w:color w:val="282828"/>
          <w:sz w:val="22"/>
          <w:szCs w:val="22"/>
        </w:rPr>
        <w:t>.</w:t>
      </w:r>
    </w:p>
    <w:p w:rsidR="008C240F" w:rsidRPr="00BA5363" w:rsidRDefault="008C240F" w:rsidP="00BA5363">
      <w:pPr>
        <w:pStyle w:val="NormalWeb"/>
        <w:spacing w:before="0" w:beforeAutospacing="0" w:after="0" w:afterAutospacing="0"/>
        <w:jc w:val="both"/>
        <w:textAlignment w:val="baseline"/>
        <w:rPr>
          <w:rFonts w:ascii="Lato" w:hAnsi="Lato"/>
          <w:color w:val="282828"/>
          <w:sz w:val="22"/>
          <w:szCs w:val="22"/>
        </w:rPr>
      </w:pPr>
      <w:r w:rsidRPr="00BA5363">
        <w:rPr>
          <w:rFonts w:ascii="Lato" w:hAnsi="Lato"/>
          <w:color w:val="282828"/>
          <w:sz w:val="22"/>
          <w:szCs w:val="22"/>
        </w:rPr>
        <w:t>La </w:t>
      </w: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prévention est primordiale</w:t>
      </w:r>
      <w:r w:rsidRPr="00BA5363">
        <w:rPr>
          <w:rFonts w:ascii="Lato" w:hAnsi="Lato"/>
          <w:color w:val="282828"/>
          <w:sz w:val="22"/>
          <w:szCs w:val="22"/>
        </w:rPr>
        <w:t> et passe principalement par </w:t>
      </w:r>
      <w:r w:rsidRPr="00BA5363">
        <w:rPr>
          <w:rStyle w:val="lev"/>
          <w:rFonts w:ascii="inherit" w:hAnsi="inherit"/>
          <w:color w:val="282828"/>
          <w:sz w:val="22"/>
          <w:szCs w:val="22"/>
          <w:bdr w:val="none" w:sz="0" w:space="0" w:color="auto" w:frame="1"/>
        </w:rPr>
        <w:t>l'éducation du patient</w:t>
      </w:r>
      <w:r w:rsidRPr="00BA5363">
        <w:rPr>
          <w:rFonts w:ascii="Lato" w:hAnsi="Lato"/>
          <w:color w:val="282828"/>
          <w:sz w:val="22"/>
          <w:szCs w:val="22"/>
        </w:rPr>
        <w:t> : rapports sexuels protégés, </w:t>
      </w:r>
      <w:hyperlink r:id="rId26" w:tgtFrame="_self" w:history="1">
        <w:r w:rsidRPr="00BA5363">
          <w:rPr>
            <w:rStyle w:val="Lienhypertexte"/>
            <w:rFonts w:ascii="Lato" w:hAnsi="Lato"/>
            <w:color w:val="2B6DA9"/>
            <w:sz w:val="22"/>
            <w:szCs w:val="22"/>
            <w:bdr w:val="none" w:sz="0" w:space="0" w:color="auto" w:frame="1"/>
          </w:rPr>
          <w:t>vaccination contre l'hépatite B</w:t>
        </w:r>
      </w:hyperlink>
      <w:r w:rsidRPr="00BA5363">
        <w:rPr>
          <w:rFonts w:ascii="Lato" w:hAnsi="Lato"/>
          <w:color w:val="282828"/>
          <w:sz w:val="22"/>
          <w:szCs w:val="22"/>
        </w:rPr>
        <w:t>...</w:t>
      </w:r>
    </w:p>
    <w:p w:rsidR="0057359B" w:rsidRDefault="0057359B" w:rsidP="0057359B">
      <w:pPr>
        <w:shd w:val="clear" w:color="auto" w:fill="FFFFFF"/>
        <w:spacing w:before="100" w:beforeAutospacing="1" w:after="312" w:line="240" w:lineRule="auto"/>
        <w:rPr>
          <w:rFonts w:ascii="Trebuchet MS" w:eastAsia="Times New Roman" w:hAnsi="Trebuchet MS" w:cs="Times New Roman"/>
          <w:color w:val="000000"/>
          <w:sz w:val="24"/>
          <w:szCs w:val="24"/>
        </w:rPr>
      </w:pPr>
    </w:p>
    <w:p w:rsidR="0057359B" w:rsidRPr="002D6FD9" w:rsidRDefault="0057359B" w:rsidP="002D6FD9">
      <w:pPr>
        <w:shd w:val="clear" w:color="auto" w:fill="FFFFFF"/>
        <w:spacing w:after="0" w:line="240" w:lineRule="auto"/>
        <w:jc w:val="center"/>
        <w:rPr>
          <w:rFonts w:ascii="Trebuchet MS" w:eastAsia="Times New Roman" w:hAnsi="Trebuchet MS" w:cs="Times New Roman"/>
          <w:color w:val="000000"/>
        </w:rPr>
      </w:pPr>
      <w:r w:rsidRPr="0057359B">
        <w:rPr>
          <w:rFonts w:ascii="Trebuchet MS" w:eastAsia="Times New Roman" w:hAnsi="Trebuchet MS" w:cs="Times New Roman"/>
          <w:color w:val="000000"/>
        </w:rPr>
        <w:t>La Blennorragie ou Gonorrhée</w:t>
      </w:r>
    </w:p>
    <w:p w:rsidR="0057359B" w:rsidRPr="0057359B" w:rsidRDefault="0057359B" w:rsidP="002D6FD9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</w:rPr>
      </w:pPr>
      <w:r w:rsidRPr="0057359B">
        <w:rPr>
          <w:rFonts w:ascii="Trebuchet MS" w:eastAsia="Times New Roman" w:hAnsi="Trebuchet MS" w:cs="Times New Roman"/>
          <w:color w:val="000000"/>
        </w:rPr>
        <w:t>La Blennorragie ou Gonorrhée est une </w:t>
      </w:r>
      <w:r w:rsidRPr="002D6FD9">
        <w:rPr>
          <w:rFonts w:ascii="Trebuchet MS" w:eastAsia="Times New Roman" w:hAnsi="Trebuchet MS" w:cs="Times New Roman"/>
          <w:b/>
          <w:bCs/>
          <w:color w:val="000000"/>
        </w:rPr>
        <w:t>infection bactérienne</w:t>
      </w:r>
      <w:r w:rsidRPr="0057359B">
        <w:rPr>
          <w:rFonts w:ascii="Trebuchet MS" w:eastAsia="Times New Roman" w:hAnsi="Trebuchet MS" w:cs="Times New Roman"/>
          <w:color w:val="000000"/>
        </w:rPr>
        <w:t> causée par le gonocoque </w:t>
      </w:r>
      <w:proofErr w:type="spellStart"/>
      <w:r w:rsidRPr="002D6FD9">
        <w:rPr>
          <w:rFonts w:ascii="Trebuchet MS" w:eastAsia="Times New Roman" w:hAnsi="Trebuchet MS" w:cs="Times New Roman"/>
          <w:i/>
          <w:iCs/>
          <w:color w:val="000000"/>
        </w:rPr>
        <w:t>Neisseria</w:t>
      </w:r>
      <w:proofErr w:type="spellEnd"/>
      <w:r w:rsidRPr="002D6FD9">
        <w:rPr>
          <w:rFonts w:ascii="Trebuchet MS" w:eastAsia="Times New Roman" w:hAnsi="Trebuchet MS" w:cs="Times New Roman"/>
          <w:i/>
          <w:iCs/>
          <w:color w:val="000000"/>
        </w:rPr>
        <w:t xml:space="preserve"> </w:t>
      </w:r>
      <w:proofErr w:type="spellStart"/>
      <w:r w:rsidRPr="002D6FD9">
        <w:rPr>
          <w:rFonts w:ascii="Trebuchet MS" w:eastAsia="Times New Roman" w:hAnsi="Trebuchet MS" w:cs="Times New Roman"/>
          <w:i/>
          <w:iCs/>
          <w:color w:val="000000"/>
        </w:rPr>
        <w:t>gonnorrheae</w:t>
      </w:r>
      <w:proofErr w:type="spellEnd"/>
      <w:r w:rsidRPr="0057359B">
        <w:rPr>
          <w:rFonts w:ascii="Trebuchet MS" w:eastAsia="Times New Roman" w:hAnsi="Trebuchet MS" w:cs="Times New Roman"/>
          <w:color w:val="000000"/>
        </w:rPr>
        <w:t>.</w:t>
      </w:r>
    </w:p>
    <w:p w:rsidR="0057359B" w:rsidRPr="0057359B" w:rsidRDefault="0057359B" w:rsidP="002D6FD9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b/>
          <w:bCs/>
          <w:color w:val="F0F3F5"/>
        </w:rPr>
      </w:pPr>
      <w:r w:rsidRPr="0057359B">
        <w:rPr>
          <w:rFonts w:ascii="Trebuchet MS" w:eastAsia="Times New Roman" w:hAnsi="Trebuchet MS" w:cs="Times New Roman"/>
          <w:color w:val="000000"/>
        </w:rPr>
        <w:t>La maladie est aussi appelée familièrement </w:t>
      </w:r>
      <w:r w:rsidRPr="002D6FD9">
        <w:rPr>
          <w:rFonts w:ascii="Trebuchet MS" w:eastAsia="Times New Roman" w:hAnsi="Trebuchet MS" w:cs="Times New Roman"/>
          <w:i/>
          <w:iCs/>
          <w:color w:val="000000"/>
        </w:rPr>
        <w:t>Chaude-pisse</w:t>
      </w:r>
      <w:r w:rsidRPr="0057359B">
        <w:rPr>
          <w:rFonts w:ascii="Trebuchet MS" w:eastAsia="Times New Roman" w:hAnsi="Trebuchet MS" w:cs="Times New Roman"/>
          <w:color w:val="000000"/>
        </w:rPr>
        <w:t> ou </w:t>
      </w:r>
      <w:r w:rsidRPr="002D6FD9">
        <w:rPr>
          <w:rFonts w:ascii="Trebuchet MS" w:eastAsia="Times New Roman" w:hAnsi="Trebuchet MS" w:cs="Times New Roman"/>
          <w:i/>
          <w:iCs/>
          <w:color w:val="000000"/>
        </w:rPr>
        <w:t>chtouille</w:t>
      </w:r>
      <w:r w:rsidRPr="0057359B">
        <w:rPr>
          <w:rFonts w:ascii="Trebuchet MS" w:eastAsia="Times New Roman" w:hAnsi="Trebuchet MS" w:cs="Times New Roman"/>
          <w:color w:val="000000"/>
        </w:rPr>
        <w:t>.</w:t>
      </w:r>
    </w:p>
    <w:p w:rsidR="0057359B" w:rsidRPr="0057359B" w:rsidRDefault="0057359B" w:rsidP="002D6FD9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</w:rPr>
      </w:pPr>
      <w:r w:rsidRPr="0057359B">
        <w:rPr>
          <w:rFonts w:ascii="Trebuchet MS" w:eastAsia="Times New Roman" w:hAnsi="Trebuchet MS" w:cs="Times New Roman"/>
          <w:color w:val="000000"/>
        </w:rPr>
        <w:t>La maladie se transmet par </w:t>
      </w:r>
      <w:r w:rsidRPr="002D6FD9">
        <w:rPr>
          <w:rFonts w:ascii="Trebuchet MS" w:eastAsia="Times New Roman" w:hAnsi="Trebuchet MS" w:cs="Times New Roman"/>
          <w:b/>
          <w:bCs/>
          <w:color w:val="000000"/>
        </w:rPr>
        <w:t>voie sexuelle</w:t>
      </w:r>
      <w:r w:rsidRPr="0057359B">
        <w:rPr>
          <w:rFonts w:ascii="Trebuchet MS" w:eastAsia="Times New Roman" w:hAnsi="Trebuchet MS" w:cs="Times New Roman"/>
          <w:color w:val="000000"/>
        </w:rPr>
        <w:t> (Sexe/sexe, Sexe/anus, Peau/sexe, bouche sexe).</w:t>
      </w:r>
    </w:p>
    <w:p w:rsidR="0057359B" w:rsidRPr="002D6FD9" w:rsidRDefault="0057359B" w:rsidP="002D6FD9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</w:rPr>
      </w:pPr>
      <w:r w:rsidRPr="0057359B">
        <w:rPr>
          <w:rFonts w:ascii="Trebuchet MS" w:eastAsia="Times New Roman" w:hAnsi="Trebuchet MS" w:cs="Times New Roman"/>
          <w:color w:val="000000"/>
        </w:rPr>
        <w:lastRenderedPageBreak/>
        <w:t>La femme enceinte peut transmettre la maladie à son enfant au moment de la naissance. L'enfant risque alors de souffrir d'une infection oculaire qui peut être grave en absence de traitement.</w:t>
      </w:r>
    </w:p>
    <w:p w:rsidR="0057359B" w:rsidRPr="0057359B" w:rsidRDefault="0057359B" w:rsidP="002D6FD9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b/>
          <w:bCs/>
          <w:color w:val="F0F3F5"/>
        </w:rPr>
      </w:pPr>
      <w:r w:rsidRPr="0057359B">
        <w:rPr>
          <w:rFonts w:ascii="Trebuchet MS" w:eastAsia="Times New Roman" w:hAnsi="Trebuchet MS" w:cs="Times New Roman"/>
          <w:b/>
          <w:bCs/>
          <w:color w:val="3F90AD"/>
        </w:rPr>
        <w:t xml:space="preserve"> </w:t>
      </w:r>
      <w:proofErr w:type="gramStart"/>
      <w:r w:rsidRPr="0057359B">
        <w:rPr>
          <w:rFonts w:ascii="Trebuchet MS" w:eastAsia="Times New Roman" w:hAnsi="Trebuchet MS" w:cs="Times New Roman"/>
          <w:b/>
          <w:bCs/>
          <w:color w:val="3F90AD"/>
        </w:rPr>
        <w:t>sont</w:t>
      </w:r>
      <w:proofErr w:type="gramEnd"/>
      <w:r w:rsidRPr="0057359B">
        <w:rPr>
          <w:rFonts w:ascii="Trebuchet MS" w:eastAsia="Times New Roman" w:hAnsi="Trebuchet MS" w:cs="Times New Roman"/>
          <w:b/>
          <w:bCs/>
          <w:color w:val="3F90AD"/>
        </w:rPr>
        <w:t xml:space="preserve"> les symptômes ?</w:t>
      </w:r>
    </w:p>
    <w:p w:rsidR="0057359B" w:rsidRPr="0057359B" w:rsidRDefault="0057359B" w:rsidP="002D6FD9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</w:rPr>
      </w:pPr>
      <w:r w:rsidRPr="0057359B">
        <w:rPr>
          <w:rFonts w:ascii="Trebuchet MS" w:eastAsia="Times New Roman" w:hAnsi="Trebuchet MS" w:cs="Times New Roman"/>
          <w:color w:val="000000"/>
        </w:rPr>
        <w:t>La période d'incubation est de </w:t>
      </w:r>
      <w:r w:rsidRPr="002D6FD9">
        <w:rPr>
          <w:rFonts w:ascii="Trebuchet MS" w:eastAsia="Times New Roman" w:hAnsi="Trebuchet MS" w:cs="Times New Roman"/>
          <w:b/>
          <w:bCs/>
          <w:color w:val="000000"/>
        </w:rPr>
        <w:t>2 à 7 jours</w:t>
      </w:r>
      <w:r w:rsidRPr="0057359B">
        <w:rPr>
          <w:rFonts w:ascii="Trebuchet MS" w:eastAsia="Times New Roman" w:hAnsi="Trebuchet MS" w:cs="Times New Roman"/>
          <w:color w:val="000000"/>
        </w:rPr>
        <w:t>. </w:t>
      </w:r>
    </w:p>
    <w:p w:rsidR="0057359B" w:rsidRPr="0057359B" w:rsidRDefault="0057359B" w:rsidP="002D6FD9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</w:rPr>
      </w:pPr>
      <w:r w:rsidRPr="0057359B">
        <w:rPr>
          <w:rFonts w:ascii="Trebuchet MS" w:eastAsia="Times New Roman" w:hAnsi="Trebuchet MS" w:cs="Times New Roman"/>
          <w:color w:val="000000"/>
        </w:rPr>
        <w:t>Chez l’homme la maladie se manifeste par :</w:t>
      </w:r>
    </w:p>
    <w:p w:rsidR="0057359B" w:rsidRPr="0057359B" w:rsidRDefault="0057359B" w:rsidP="002D6FD9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color w:val="000000"/>
        </w:rPr>
      </w:pPr>
      <w:r w:rsidRPr="0057359B">
        <w:rPr>
          <w:rFonts w:ascii="Trebuchet MS" w:eastAsia="Times New Roman" w:hAnsi="Trebuchet MS" w:cs="Times New Roman"/>
          <w:color w:val="000000"/>
        </w:rPr>
        <w:t>Une sensation de brûlure à la miction (en urinant)</w:t>
      </w:r>
    </w:p>
    <w:p w:rsidR="0057359B" w:rsidRPr="0057359B" w:rsidRDefault="0057359B" w:rsidP="002D6FD9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color w:val="000000"/>
        </w:rPr>
      </w:pPr>
      <w:r w:rsidRPr="0057359B">
        <w:rPr>
          <w:rFonts w:ascii="Trebuchet MS" w:eastAsia="Times New Roman" w:hAnsi="Trebuchet MS" w:cs="Times New Roman"/>
          <w:color w:val="000000"/>
        </w:rPr>
        <w:t>Un écoulement de pus à l’extrémité de la verge</w:t>
      </w:r>
    </w:p>
    <w:p w:rsidR="0057359B" w:rsidRPr="0057359B" w:rsidRDefault="0057359B" w:rsidP="002D6FD9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color w:val="000000"/>
        </w:rPr>
      </w:pPr>
      <w:r w:rsidRPr="0057359B">
        <w:rPr>
          <w:rFonts w:ascii="Trebuchet MS" w:eastAsia="Times New Roman" w:hAnsi="Trebuchet MS" w:cs="Times New Roman"/>
          <w:color w:val="000000"/>
        </w:rPr>
        <w:t>Une inflammation de l’urètre</w:t>
      </w:r>
    </w:p>
    <w:p w:rsidR="0057359B" w:rsidRPr="0057359B" w:rsidRDefault="0057359B" w:rsidP="002D6FD9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</w:rPr>
      </w:pPr>
      <w:r w:rsidRPr="0057359B">
        <w:rPr>
          <w:rFonts w:ascii="Trebuchet MS" w:eastAsia="Times New Roman" w:hAnsi="Trebuchet MS" w:cs="Times New Roman"/>
          <w:color w:val="000000"/>
        </w:rPr>
        <w:t>Chez la femme, l’infection se développe souvent sans signes cliniques particuliers. Dans certains cas,  les symptômes sont :</w:t>
      </w:r>
    </w:p>
    <w:p w:rsidR="0057359B" w:rsidRPr="0057359B" w:rsidRDefault="0057359B" w:rsidP="002D6FD9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color w:val="000000"/>
        </w:rPr>
      </w:pPr>
      <w:r w:rsidRPr="0057359B">
        <w:rPr>
          <w:rFonts w:ascii="Trebuchet MS" w:eastAsia="Times New Roman" w:hAnsi="Trebuchet MS" w:cs="Times New Roman"/>
          <w:color w:val="000000"/>
        </w:rPr>
        <w:t>Un écoulement vaginal anormal</w:t>
      </w:r>
    </w:p>
    <w:p w:rsidR="0057359B" w:rsidRPr="0057359B" w:rsidRDefault="0057359B" w:rsidP="002D6FD9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color w:val="000000"/>
        </w:rPr>
      </w:pPr>
      <w:r w:rsidRPr="0057359B">
        <w:rPr>
          <w:rFonts w:ascii="Trebuchet MS" w:eastAsia="Times New Roman" w:hAnsi="Trebuchet MS" w:cs="Times New Roman"/>
          <w:color w:val="000000"/>
        </w:rPr>
        <w:t>Des saignements vaginaux</w:t>
      </w:r>
    </w:p>
    <w:p w:rsidR="0057359B" w:rsidRPr="0057359B" w:rsidRDefault="0057359B" w:rsidP="002D6FD9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color w:val="000000"/>
        </w:rPr>
      </w:pPr>
      <w:r w:rsidRPr="0057359B">
        <w:rPr>
          <w:rFonts w:ascii="Trebuchet MS" w:eastAsia="Times New Roman" w:hAnsi="Trebuchet MS" w:cs="Times New Roman"/>
          <w:color w:val="000000"/>
        </w:rPr>
        <w:t>Des douleurs dans le bas ventre</w:t>
      </w:r>
    </w:p>
    <w:p w:rsidR="0057359B" w:rsidRPr="0057359B" w:rsidRDefault="0057359B" w:rsidP="002D6FD9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b/>
          <w:bCs/>
          <w:color w:val="F0F3F5"/>
        </w:rPr>
      </w:pPr>
      <w:r w:rsidRPr="0057359B">
        <w:rPr>
          <w:rFonts w:ascii="Trebuchet MS" w:eastAsia="Times New Roman" w:hAnsi="Trebuchet MS" w:cs="Times New Roman"/>
          <w:color w:val="000000"/>
        </w:rPr>
        <w:t>Il peut exister des formes cliniques en dehors des organes génitaux : les formes touchant l'anus ou la gorge (en fonction des pratiques sexuelles essentiellement).</w:t>
      </w:r>
    </w:p>
    <w:p w:rsidR="0057359B" w:rsidRPr="0057359B" w:rsidRDefault="0057359B" w:rsidP="002D6FD9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</w:rPr>
      </w:pPr>
      <w:r w:rsidRPr="0057359B">
        <w:rPr>
          <w:rFonts w:ascii="Trebuchet MS" w:eastAsia="Times New Roman" w:hAnsi="Trebuchet MS" w:cs="Times New Roman"/>
          <w:color w:val="000000"/>
        </w:rPr>
        <w:t>La Blennorragie peut avoir de graves conséquences si elle n’est pas traitée.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498"/>
        <w:gridCol w:w="133"/>
      </w:tblGrid>
      <w:tr w:rsidR="0057359B" w:rsidRPr="0057359B" w:rsidTr="0057359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57359B" w:rsidRPr="0057359B" w:rsidRDefault="0057359B" w:rsidP="002D6FD9">
            <w:pPr>
              <w:numPr>
                <w:ilvl w:val="0"/>
                <w:numId w:val="17"/>
              </w:numPr>
              <w:spacing w:after="0" w:line="240" w:lineRule="auto"/>
              <w:ind w:left="0"/>
              <w:rPr>
                <w:rFonts w:ascii="Trebuchet MS" w:eastAsia="Times New Roman" w:hAnsi="Trebuchet MS" w:cs="Times New Roman"/>
                <w:color w:val="000000"/>
              </w:rPr>
            </w:pPr>
            <w:r w:rsidRPr="0057359B">
              <w:rPr>
                <w:rFonts w:ascii="Trebuchet MS" w:eastAsia="Times New Roman" w:hAnsi="Trebuchet MS" w:cs="Times New Roman"/>
                <w:color w:val="000000"/>
              </w:rPr>
              <w:t>Chez les femmes, la blennorragie peut causer une </w:t>
            </w:r>
            <w:r w:rsidRPr="002D6FD9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infection grave de l'utérus et des trompes de Fallope (salpingite)</w:t>
            </w:r>
            <w:r w:rsidRPr="0057359B">
              <w:rPr>
                <w:rFonts w:ascii="Trebuchet MS" w:eastAsia="Times New Roman" w:hAnsi="Trebuchet MS" w:cs="Times New Roman"/>
                <w:color w:val="000000"/>
              </w:rPr>
              <w:t>, laquelle risque de causer la </w:t>
            </w:r>
            <w:r w:rsidRPr="002D6FD9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stérilité</w:t>
            </w:r>
            <w:r w:rsidRPr="0057359B">
              <w:rPr>
                <w:rFonts w:ascii="Trebuchet MS" w:eastAsia="Times New Roman" w:hAnsi="Trebuchet MS" w:cs="Times New Roman"/>
                <w:color w:val="000000"/>
              </w:rPr>
              <w:t> ou une grossesse extra utérine. L’infection non traitée peut se propager et entraîner une infection des enveloppes entourant les organes abdominaux (</w:t>
            </w:r>
            <w:proofErr w:type="spellStart"/>
            <w:r w:rsidRPr="0057359B">
              <w:rPr>
                <w:rFonts w:ascii="Trebuchet MS" w:eastAsia="Times New Roman" w:hAnsi="Trebuchet MS" w:cs="Times New Roman"/>
                <w:color w:val="000000"/>
              </w:rPr>
              <w:t>pelvi-peritonite</w:t>
            </w:r>
            <w:proofErr w:type="spellEnd"/>
            <w:r w:rsidRPr="0057359B">
              <w:rPr>
                <w:rFonts w:ascii="Trebuchet MS" w:eastAsia="Times New Roman" w:hAnsi="Trebuchet MS" w:cs="Times New Roman"/>
                <w:color w:val="000000"/>
              </w:rPr>
              <w:t>).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57359B" w:rsidRPr="0057359B" w:rsidRDefault="0057359B" w:rsidP="002D6FD9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</w:rPr>
            </w:pPr>
            <w:r w:rsidRPr="0057359B">
              <w:rPr>
                <w:rFonts w:ascii="Trebuchet MS" w:eastAsia="Times New Roman" w:hAnsi="Trebuchet MS" w:cs="Times New Roman"/>
                <w:color w:val="000000"/>
              </w:rPr>
              <w:t>  </w:t>
            </w:r>
          </w:p>
        </w:tc>
      </w:tr>
      <w:tr w:rsidR="0057359B" w:rsidRPr="0057359B" w:rsidTr="0057359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57359B" w:rsidRPr="0057359B" w:rsidRDefault="0057359B" w:rsidP="002D6FD9">
            <w:pPr>
              <w:numPr>
                <w:ilvl w:val="0"/>
                <w:numId w:val="18"/>
              </w:numPr>
              <w:spacing w:after="0" w:line="240" w:lineRule="auto"/>
              <w:ind w:left="0"/>
              <w:rPr>
                <w:rFonts w:ascii="Trebuchet MS" w:eastAsia="Times New Roman" w:hAnsi="Trebuchet MS" w:cs="Times New Roman"/>
                <w:color w:val="000000"/>
              </w:rPr>
            </w:pPr>
            <w:r w:rsidRPr="0057359B">
              <w:rPr>
                <w:rFonts w:ascii="Trebuchet MS" w:eastAsia="Times New Roman" w:hAnsi="Trebuchet MS" w:cs="Times New Roman"/>
                <w:color w:val="000000"/>
              </w:rPr>
              <w:t>Chez les hommes, elle peut provoquer une </w:t>
            </w:r>
            <w:r w:rsidRPr="002D6FD9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inflammation des testicules</w:t>
            </w:r>
            <w:r w:rsidRPr="0057359B">
              <w:rPr>
                <w:rFonts w:ascii="Trebuchet MS" w:eastAsia="Times New Roman" w:hAnsi="Trebuchet MS" w:cs="Times New Roman"/>
                <w:color w:val="000000"/>
              </w:rPr>
              <w:t> pouvant aboutir à la </w:t>
            </w:r>
            <w:r w:rsidRPr="002D6FD9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stérilité</w:t>
            </w:r>
            <w:r w:rsidRPr="0057359B">
              <w:rPr>
                <w:rFonts w:ascii="Trebuchet MS" w:eastAsia="Times New Roman" w:hAnsi="Trebuchet MS" w:cs="Times New Roman"/>
                <w:color w:val="000000"/>
              </w:rPr>
              <w:t>, des difficultés à uriner, une infection de la prostate et un rétrécissement de l’urètre.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57359B" w:rsidRPr="0057359B" w:rsidRDefault="0057359B" w:rsidP="002D6FD9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</w:rPr>
            </w:pPr>
          </w:p>
        </w:tc>
      </w:tr>
    </w:tbl>
    <w:p w:rsidR="0057359B" w:rsidRPr="002D6FD9" w:rsidRDefault="0057359B" w:rsidP="002D6FD9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</w:rPr>
      </w:pPr>
      <w:r w:rsidRPr="0057359B">
        <w:rPr>
          <w:rFonts w:ascii="Trebuchet MS" w:eastAsia="Times New Roman" w:hAnsi="Trebuchet MS" w:cs="Times New Roman"/>
          <w:color w:val="000000"/>
        </w:rPr>
        <w:t>La Blennorragie peut également causer des </w:t>
      </w:r>
      <w:r w:rsidRPr="002D6FD9">
        <w:rPr>
          <w:rFonts w:ascii="Trebuchet MS" w:eastAsia="Times New Roman" w:hAnsi="Trebuchet MS" w:cs="Times New Roman"/>
          <w:b/>
          <w:bCs/>
          <w:color w:val="000000"/>
        </w:rPr>
        <w:t>infections oculaires</w:t>
      </w:r>
      <w:r w:rsidRPr="0057359B">
        <w:rPr>
          <w:rFonts w:ascii="Trebuchet MS" w:eastAsia="Times New Roman" w:hAnsi="Trebuchet MS" w:cs="Times New Roman"/>
          <w:color w:val="000000"/>
        </w:rPr>
        <w:t> (conjonctivite) et de l'</w:t>
      </w:r>
      <w:r w:rsidRPr="002D6FD9">
        <w:rPr>
          <w:rFonts w:ascii="Trebuchet MS" w:eastAsia="Times New Roman" w:hAnsi="Trebuchet MS" w:cs="Times New Roman"/>
          <w:b/>
          <w:bCs/>
          <w:color w:val="000000"/>
        </w:rPr>
        <w:t>arthrite</w:t>
      </w:r>
      <w:r w:rsidRPr="0057359B">
        <w:rPr>
          <w:rFonts w:ascii="Trebuchet MS" w:eastAsia="Times New Roman" w:hAnsi="Trebuchet MS" w:cs="Times New Roman"/>
          <w:color w:val="000000"/>
        </w:rPr>
        <w:t> car en absence de traitement, la bactérie peut se développer en dehors des organes génitaux-urinaires.</w:t>
      </w:r>
    </w:p>
    <w:p w:rsidR="0057359B" w:rsidRPr="0057359B" w:rsidRDefault="0057359B" w:rsidP="002D6FD9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b/>
          <w:bCs/>
          <w:color w:val="F0F3F5"/>
        </w:rPr>
      </w:pPr>
      <w:r w:rsidRPr="0057359B">
        <w:rPr>
          <w:rFonts w:ascii="Trebuchet MS" w:eastAsia="Times New Roman" w:hAnsi="Trebuchet MS" w:cs="Times New Roman"/>
          <w:b/>
          <w:bCs/>
          <w:color w:val="3F90AD"/>
        </w:rPr>
        <w:t xml:space="preserve"> </w:t>
      </w:r>
      <w:proofErr w:type="gramStart"/>
      <w:r w:rsidRPr="0057359B">
        <w:rPr>
          <w:rFonts w:ascii="Trebuchet MS" w:eastAsia="Times New Roman" w:hAnsi="Trebuchet MS" w:cs="Times New Roman"/>
          <w:b/>
          <w:bCs/>
          <w:color w:val="3F90AD"/>
        </w:rPr>
        <w:t>diagnostic</w:t>
      </w:r>
      <w:proofErr w:type="gramEnd"/>
      <w:r w:rsidRPr="0057359B">
        <w:rPr>
          <w:rFonts w:ascii="Trebuchet MS" w:eastAsia="Times New Roman" w:hAnsi="Trebuchet MS" w:cs="Times New Roman"/>
          <w:b/>
          <w:bCs/>
          <w:color w:val="3F90AD"/>
        </w:rPr>
        <w:t xml:space="preserve"> </w:t>
      </w:r>
    </w:p>
    <w:p w:rsidR="0057359B" w:rsidRPr="0057359B" w:rsidRDefault="0057359B" w:rsidP="002D6FD9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</w:rPr>
      </w:pPr>
      <w:r w:rsidRPr="0057359B">
        <w:rPr>
          <w:rFonts w:ascii="Trebuchet MS" w:eastAsia="Times New Roman" w:hAnsi="Trebuchet MS" w:cs="Times New Roman"/>
          <w:color w:val="000000"/>
        </w:rPr>
        <w:t>Le médecin pratiquera des </w:t>
      </w:r>
      <w:r w:rsidRPr="002D6FD9">
        <w:rPr>
          <w:rFonts w:ascii="Trebuchet MS" w:eastAsia="Times New Roman" w:hAnsi="Trebuchet MS" w:cs="Times New Roman"/>
          <w:b/>
          <w:bCs/>
          <w:color w:val="000000"/>
        </w:rPr>
        <w:t>prélèvements</w:t>
      </w:r>
      <w:r w:rsidRPr="0057359B">
        <w:rPr>
          <w:rFonts w:ascii="Trebuchet MS" w:eastAsia="Times New Roman" w:hAnsi="Trebuchet MS" w:cs="Times New Roman"/>
          <w:color w:val="000000"/>
        </w:rPr>
        <w:t> au niveau des différents sites probables de l'infection (urètre, col de l’utérus, anus et pharynx).</w:t>
      </w:r>
    </w:p>
    <w:p w:rsidR="0057359B" w:rsidRPr="0057359B" w:rsidRDefault="0057359B" w:rsidP="002D6FD9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b/>
          <w:bCs/>
          <w:color w:val="F0F3F5"/>
        </w:rPr>
      </w:pPr>
      <w:r w:rsidRPr="0057359B">
        <w:rPr>
          <w:rFonts w:ascii="Trebuchet MS" w:eastAsia="Times New Roman" w:hAnsi="Trebuchet MS" w:cs="Times New Roman"/>
          <w:color w:val="000000"/>
        </w:rPr>
        <w:t>Une </w:t>
      </w:r>
      <w:r w:rsidRPr="002D6FD9">
        <w:rPr>
          <w:rFonts w:ascii="Trebuchet MS" w:eastAsia="Times New Roman" w:hAnsi="Trebuchet MS" w:cs="Times New Roman"/>
          <w:b/>
          <w:bCs/>
          <w:color w:val="000000"/>
        </w:rPr>
        <w:t>prise de sang</w:t>
      </w:r>
      <w:r w:rsidRPr="0057359B">
        <w:rPr>
          <w:rFonts w:ascii="Trebuchet MS" w:eastAsia="Times New Roman" w:hAnsi="Trebuchet MS" w:cs="Times New Roman"/>
          <w:color w:val="000000"/>
        </w:rPr>
        <w:t> peut également être effectuée afin de détecter la présence de la bactérie dans le sang.</w:t>
      </w:r>
    </w:p>
    <w:p w:rsidR="0057359B" w:rsidRPr="0057359B" w:rsidRDefault="0057359B" w:rsidP="002D6FD9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</w:rPr>
      </w:pPr>
      <w:r w:rsidRPr="0057359B">
        <w:rPr>
          <w:rFonts w:ascii="Trebuchet MS" w:eastAsia="Times New Roman" w:hAnsi="Trebuchet MS" w:cs="Times New Roman"/>
          <w:color w:val="000000"/>
        </w:rPr>
        <w:t>Le traitement se fait par </w:t>
      </w:r>
      <w:r w:rsidRPr="002D6FD9">
        <w:rPr>
          <w:rFonts w:ascii="Trebuchet MS" w:eastAsia="Times New Roman" w:hAnsi="Trebuchet MS" w:cs="Times New Roman"/>
          <w:b/>
          <w:bCs/>
          <w:color w:val="000000"/>
        </w:rPr>
        <w:t>antibiotiques</w:t>
      </w:r>
      <w:r w:rsidRPr="0057359B">
        <w:rPr>
          <w:rFonts w:ascii="Trebuchet MS" w:eastAsia="Times New Roman" w:hAnsi="Trebuchet MS" w:cs="Times New Roman"/>
          <w:color w:val="000000"/>
        </w:rPr>
        <w:t> en comprimés ou en injections.</w:t>
      </w:r>
    </w:p>
    <w:p w:rsidR="007C0707" w:rsidRPr="00D21A65" w:rsidRDefault="007C0707" w:rsidP="00D21A65">
      <w:pPr>
        <w:rPr>
          <w:color w:val="000000" w:themeColor="text1"/>
        </w:rPr>
      </w:pPr>
    </w:p>
    <w:sectPr w:rsidR="007C0707" w:rsidRPr="00D21A65" w:rsidSect="00BA5363">
      <w:pgSz w:w="11906" w:h="16838"/>
      <w:pgMar w:top="1417" w:right="424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a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44A7A"/>
    <w:multiLevelType w:val="multilevel"/>
    <w:tmpl w:val="BF86E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F6232E"/>
    <w:multiLevelType w:val="multilevel"/>
    <w:tmpl w:val="8CCE3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944B86"/>
    <w:multiLevelType w:val="multilevel"/>
    <w:tmpl w:val="152CB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166CEA"/>
    <w:multiLevelType w:val="multilevel"/>
    <w:tmpl w:val="21B48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D946B2"/>
    <w:multiLevelType w:val="multilevel"/>
    <w:tmpl w:val="D430C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7D3ADF"/>
    <w:multiLevelType w:val="multilevel"/>
    <w:tmpl w:val="679E8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780FFB"/>
    <w:multiLevelType w:val="multilevel"/>
    <w:tmpl w:val="81CE4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E75FA8"/>
    <w:multiLevelType w:val="multilevel"/>
    <w:tmpl w:val="DFA0B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3157D2"/>
    <w:multiLevelType w:val="multilevel"/>
    <w:tmpl w:val="AE428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24B279F"/>
    <w:multiLevelType w:val="multilevel"/>
    <w:tmpl w:val="4EE4E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4D10146"/>
    <w:multiLevelType w:val="multilevel"/>
    <w:tmpl w:val="0186E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8E65D2D"/>
    <w:multiLevelType w:val="multilevel"/>
    <w:tmpl w:val="B008C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C175E6A"/>
    <w:multiLevelType w:val="multilevel"/>
    <w:tmpl w:val="B6CAD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6247D73"/>
    <w:multiLevelType w:val="multilevel"/>
    <w:tmpl w:val="202C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86A2966"/>
    <w:multiLevelType w:val="multilevel"/>
    <w:tmpl w:val="F1061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12029D1"/>
    <w:multiLevelType w:val="multilevel"/>
    <w:tmpl w:val="FBD6D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3DD24D8"/>
    <w:multiLevelType w:val="multilevel"/>
    <w:tmpl w:val="5AEC6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B15227B"/>
    <w:multiLevelType w:val="multilevel"/>
    <w:tmpl w:val="F1305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2"/>
  </w:num>
  <w:num w:numId="3">
    <w:abstractNumId w:val="14"/>
  </w:num>
  <w:num w:numId="4">
    <w:abstractNumId w:val="17"/>
  </w:num>
  <w:num w:numId="5">
    <w:abstractNumId w:val="2"/>
  </w:num>
  <w:num w:numId="6">
    <w:abstractNumId w:val="16"/>
  </w:num>
  <w:num w:numId="7">
    <w:abstractNumId w:val="10"/>
  </w:num>
  <w:num w:numId="8">
    <w:abstractNumId w:val="11"/>
  </w:num>
  <w:num w:numId="9">
    <w:abstractNumId w:val="8"/>
  </w:num>
  <w:num w:numId="10">
    <w:abstractNumId w:val="1"/>
  </w:num>
  <w:num w:numId="11">
    <w:abstractNumId w:val="7"/>
  </w:num>
  <w:num w:numId="12">
    <w:abstractNumId w:val="0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15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>
    <w:useFELayout/>
  </w:compat>
  <w:rsids>
    <w:rsidRoot w:val="008D5A99"/>
    <w:rsid w:val="002D6FD9"/>
    <w:rsid w:val="0057359B"/>
    <w:rsid w:val="007C0707"/>
    <w:rsid w:val="008C240F"/>
    <w:rsid w:val="008D5A99"/>
    <w:rsid w:val="00BA5363"/>
    <w:rsid w:val="00D21A65"/>
    <w:rsid w:val="00F1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8D5A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re2">
    <w:name w:val="heading 2"/>
    <w:basedOn w:val="Normal"/>
    <w:link w:val="Titre2Car"/>
    <w:uiPriority w:val="9"/>
    <w:qFormat/>
    <w:rsid w:val="008D5A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3">
    <w:name w:val="heading 3"/>
    <w:basedOn w:val="Normal"/>
    <w:link w:val="Titre3Car"/>
    <w:uiPriority w:val="9"/>
    <w:qFormat/>
    <w:rsid w:val="008D5A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C240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D5A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re2Car">
    <w:name w:val="Titre 2 Car"/>
    <w:basedOn w:val="Policepardfaut"/>
    <w:link w:val="Titre2"/>
    <w:uiPriority w:val="9"/>
    <w:rsid w:val="008D5A9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itre3Car">
    <w:name w:val="Titre 3 Car"/>
    <w:basedOn w:val="Policepardfaut"/>
    <w:link w:val="Titre3"/>
    <w:uiPriority w:val="9"/>
    <w:rsid w:val="008D5A99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Lienhypertexte">
    <w:name w:val="Hyperlink"/>
    <w:basedOn w:val="Policepardfaut"/>
    <w:uiPriority w:val="99"/>
    <w:semiHidden/>
    <w:unhideWhenUsed/>
    <w:rsid w:val="008D5A99"/>
    <w:rPr>
      <w:color w:val="0000FF"/>
      <w:u w:val="single"/>
    </w:rPr>
  </w:style>
  <w:style w:type="paragraph" w:customStyle="1" w:styleId="note">
    <w:name w:val="note"/>
    <w:basedOn w:val="Normal"/>
    <w:rsid w:val="008D5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8D5A99"/>
    <w:rPr>
      <w:b/>
      <w:bCs/>
    </w:rPr>
  </w:style>
  <w:style w:type="character" w:styleId="Accentuation">
    <w:name w:val="Emphasis"/>
    <w:basedOn w:val="Policepardfaut"/>
    <w:uiPriority w:val="20"/>
    <w:qFormat/>
    <w:rsid w:val="008D5A99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8D5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redit">
    <w:name w:val="credit"/>
    <w:basedOn w:val="Policepardfaut"/>
    <w:rsid w:val="008D5A99"/>
  </w:style>
  <w:style w:type="paragraph" w:styleId="Textedebulles">
    <w:name w:val="Balloon Text"/>
    <w:basedOn w:val="Normal"/>
    <w:link w:val="TextedebullesCar"/>
    <w:uiPriority w:val="99"/>
    <w:semiHidden/>
    <w:unhideWhenUsed/>
    <w:rsid w:val="008D5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5A99"/>
    <w:rPr>
      <w:rFonts w:ascii="Tahoma" w:hAnsi="Tahoma" w:cs="Tahoma"/>
      <w:sz w:val="16"/>
      <w:szCs w:val="16"/>
    </w:rPr>
  </w:style>
  <w:style w:type="character" w:customStyle="1" w:styleId="Titre4Car">
    <w:name w:val="Titre 4 Car"/>
    <w:basedOn w:val="Policepardfaut"/>
    <w:link w:val="Titre4"/>
    <w:uiPriority w:val="9"/>
    <w:semiHidden/>
    <w:rsid w:val="008C240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uthor-job">
    <w:name w:val="author-job"/>
    <w:basedOn w:val="Normal"/>
    <w:rsid w:val="008C2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-reviewer">
    <w:name w:val="doc-reviewer"/>
    <w:basedOn w:val="Normal"/>
    <w:rsid w:val="008C2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-date">
    <w:name w:val="doc-date"/>
    <w:basedOn w:val="Normal"/>
    <w:rsid w:val="008C2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29068">
          <w:marLeft w:val="75"/>
          <w:marRight w:val="0"/>
          <w:marTop w:val="10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1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12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7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12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22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8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1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3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1853">
          <w:marLeft w:val="0"/>
          <w:marRight w:val="0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7417">
          <w:marLeft w:val="107"/>
          <w:marRight w:val="0"/>
          <w:marTop w:val="0"/>
          <w:marBottom w:val="1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7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300585">
          <w:marLeft w:val="107"/>
          <w:marRight w:val="0"/>
          <w:marTop w:val="0"/>
          <w:marBottom w:val="1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8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800732">
          <w:marLeft w:val="107"/>
          <w:marRight w:val="0"/>
          <w:marTop w:val="0"/>
          <w:marBottom w:val="1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8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tionnaire.doctissimo.fr/definition-ganglion.htm" TargetMode="External"/><Relationship Id="rId13" Type="http://schemas.openxmlformats.org/officeDocument/2006/relationships/hyperlink" Target="http://www.doctissimo.fr/html/dossiers/mst/mst.htm" TargetMode="External"/><Relationship Id="rId18" Type="http://schemas.openxmlformats.org/officeDocument/2006/relationships/hyperlink" Target="http://www.doctissimo.fr/html/sante/mag_2002/sem02/mag1108/dossier/mononucleose_niv2.htm" TargetMode="External"/><Relationship Id="rId26" Type="http://schemas.openxmlformats.org/officeDocument/2006/relationships/hyperlink" Target="http://www.doctissimo.fr/html/dossiers/hepatite_b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doctissimo.fr/html/sante/encyclopedie/sa_1161_toxoplasmose.htm" TargetMode="External"/><Relationship Id="rId7" Type="http://schemas.openxmlformats.org/officeDocument/2006/relationships/hyperlink" Target="http://dictionnaire.doctissimo.fr/definition-lesion.htm" TargetMode="External"/><Relationship Id="rId12" Type="http://schemas.openxmlformats.org/officeDocument/2006/relationships/hyperlink" Target="http://www.doctissimo.fr/html/dossiers/hepatites.htm" TargetMode="External"/><Relationship Id="rId17" Type="http://schemas.openxmlformats.org/officeDocument/2006/relationships/hyperlink" Target="http://www.doctissimo.fr/html/medicaments/articles/sa_4085_antibiotiques.htm" TargetMode="External"/><Relationship Id="rId25" Type="http://schemas.openxmlformats.org/officeDocument/2006/relationships/hyperlink" Target="http://www.doctissimo.fr/html/dossiers/mst/mst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octissimo.fr/html/sante/analyses/sa_749_s.htm" TargetMode="External"/><Relationship Id="rId20" Type="http://schemas.openxmlformats.org/officeDocument/2006/relationships/hyperlink" Target="http://www.doctissimo.fr/html/sante/encyclopedie/sa_1167_tuberculose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dictionnaire.doctissimo.fr/definition-chancre.htm" TargetMode="External"/><Relationship Id="rId11" Type="http://schemas.openxmlformats.org/officeDocument/2006/relationships/hyperlink" Target="http://www.doctissimo.fr/html/dossiers/meningite.htm" TargetMode="External"/><Relationship Id="rId24" Type="http://schemas.openxmlformats.org/officeDocument/2006/relationships/hyperlink" Target="http://www.doctissimo.fr/classe-NC-CYCLINES.htm" TargetMode="External"/><Relationship Id="rId5" Type="http://schemas.openxmlformats.org/officeDocument/2006/relationships/hyperlink" Target="http://www.doctissimo.fr/html/dossiers/mst/syphilis.htm" TargetMode="External"/><Relationship Id="rId15" Type="http://schemas.openxmlformats.org/officeDocument/2006/relationships/hyperlink" Target="http://www.doctissimo.fr/html/dossiers/hepatites/hepatite-b.htm" TargetMode="External"/><Relationship Id="rId23" Type="http://schemas.openxmlformats.org/officeDocument/2006/relationships/hyperlink" Target="http://www.doctissimo.fr/classe-NE-MACROLIDES-ET-APPARENTES.htm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doctissimo.fr/html/dossiers/migraine/migraine_maux_tete_niv2.htm" TargetMode="External"/><Relationship Id="rId19" Type="http://schemas.openxmlformats.org/officeDocument/2006/relationships/hyperlink" Target="http://www.doctissimo.fr/html/sante/encyclopedie/sa_1020_varicelle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octissimo.fr/html/dossiers/fatigue/fatigue.htm" TargetMode="External"/><Relationship Id="rId14" Type="http://schemas.openxmlformats.org/officeDocument/2006/relationships/hyperlink" Target="http://www.doctissimo.fr/html/dossiers/sida/sida.htm" TargetMode="External"/><Relationship Id="rId22" Type="http://schemas.openxmlformats.org/officeDocument/2006/relationships/hyperlink" Target="http://www.doctissimo.fr/medicament-PENICILLINE-G-PANPHARMA.ht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1720</Words>
  <Characters>9464</Characters>
  <Application>Microsoft Office Word</Application>
  <DocSecurity>0</DocSecurity>
  <Lines>78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2019-02-22T06:46:00Z</dcterms:created>
  <dcterms:modified xsi:type="dcterms:W3CDTF">2019-02-22T08:47:00Z</dcterms:modified>
</cp:coreProperties>
</file>